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5B2D" w14:textId="77777777" w:rsidR="005D4FCD" w:rsidRDefault="005D4FCD">
      <w:pPr>
        <w:rPr>
          <w:noProof/>
        </w:rPr>
      </w:pPr>
    </w:p>
    <w:p w14:paraId="213A5EF3" w14:textId="77777777" w:rsidR="00A01326" w:rsidRDefault="00A01326">
      <w:pPr>
        <w:rPr>
          <w:noProof/>
        </w:rPr>
      </w:pPr>
    </w:p>
    <w:p w14:paraId="18A85C58" w14:textId="77777777" w:rsidR="00A01326" w:rsidRDefault="00A01326">
      <w:pPr>
        <w:rPr>
          <w:noProof/>
        </w:rPr>
      </w:pPr>
    </w:p>
    <w:p w14:paraId="1B448CB2" w14:textId="77777777" w:rsidR="00A01326" w:rsidRDefault="00A01326">
      <w:pPr>
        <w:rPr>
          <w:noProof/>
        </w:rPr>
      </w:pPr>
    </w:p>
    <w:p w14:paraId="4A6ECFFF" w14:textId="77777777" w:rsidR="00A01326" w:rsidRDefault="00A01326">
      <w:pPr>
        <w:rPr>
          <w:noProof/>
        </w:rPr>
      </w:pPr>
    </w:p>
    <w:p w14:paraId="443DF5B4" w14:textId="77777777" w:rsidR="00A01326" w:rsidRDefault="00A01326">
      <w:pPr>
        <w:rPr>
          <w:noProof/>
        </w:rPr>
      </w:pPr>
    </w:p>
    <w:p w14:paraId="18BC6FB1" w14:textId="77777777" w:rsidR="00D679C0" w:rsidRDefault="00D679C0">
      <w:pPr>
        <w:rPr>
          <w:noProof/>
        </w:rPr>
      </w:pPr>
    </w:p>
    <w:p w14:paraId="2A5B4B34" w14:textId="77777777" w:rsidR="00D679C0" w:rsidRDefault="00D679C0">
      <w:pPr>
        <w:rPr>
          <w:noProof/>
        </w:rPr>
      </w:pPr>
    </w:p>
    <w:tbl>
      <w:tblPr>
        <w:tblStyle w:val="TableGrid"/>
        <w:tblpPr w:leftFromText="180" w:rightFromText="180" w:vertAnchor="text" w:horzAnchor="margin" w:tblpY="16"/>
        <w:tblW w:w="10627" w:type="dxa"/>
        <w:tblLook w:val="04A0" w:firstRow="1" w:lastRow="0" w:firstColumn="1" w:lastColumn="0" w:noHBand="0" w:noVBand="1"/>
      </w:tblPr>
      <w:tblGrid>
        <w:gridCol w:w="1870"/>
        <w:gridCol w:w="1693"/>
        <w:gridCol w:w="1797"/>
        <w:gridCol w:w="1797"/>
        <w:gridCol w:w="1708"/>
        <w:gridCol w:w="1762"/>
      </w:tblGrid>
      <w:tr w:rsidR="00032512" w:rsidRPr="0040743C" w14:paraId="32EB88C0" w14:textId="77777777" w:rsidTr="00820811">
        <w:trPr>
          <w:trHeight w:val="594"/>
        </w:trPr>
        <w:tc>
          <w:tcPr>
            <w:tcW w:w="1870" w:type="dxa"/>
          </w:tcPr>
          <w:p w14:paraId="34ADAFE5" w14:textId="77777777" w:rsidR="00032512" w:rsidRPr="0040743C" w:rsidRDefault="00032512" w:rsidP="00820811">
            <w:pPr>
              <w:jc w:val="center"/>
              <w:rPr>
                <w:rFonts w:ascii="Lato" w:eastAsiaTheme="minorEastAsia" w:hAnsi="Lato"/>
                <w:b/>
                <w:bCs/>
                <w:sz w:val="20"/>
                <w:szCs w:val="20"/>
              </w:rPr>
            </w:pPr>
            <w:r w:rsidRPr="0040743C">
              <w:rPr>
                <w:rFonts w:ascii="Lato" w:eastAsiaTheme="minorEastAsia" w:hAnsi="Lato"/>
                <w:b/>
                <w:bCs/>
                <w:sz w:val="20"/>
                <w:szCs w:val="20"/>
              </w:rPr>
              <w:t>Approved by</w:t>
            </w:r>
          </w:p>
        </w:tc>
        <w:tc>
          <w:tcPr>
            <w:tcW w:w="1693" w:type="dxa"/>
          </w:tcPr>
          <w:p w14:paraId="0641AF59" w14:textId="77777777" w:rsidR="00032512" w:rsidRPr="0040743C" w:rsidRDefault="00032512" w:rsidP="00820811">
            <w:pPr>
              <w:jc w:val="center"/>
              <w:rPr>
                <w:rFonts w:ascii="Lato" w:eastAsiaTheme="minorEastAsia" w:hAnsi="Lato"/>
                <w:b/>
                <w:bCs/>
                <w:sz w:val="20"/>
                <w:szCs w:val="20"/>
              </w:rPr>
            </w:pPr>
            <w:r w:rsidRPr="0040743C">
              <w:rPr>
                <w:rFonts w:ascii="Lato" w:eastAsiaTheme="minorEastAsia" w:hAnsi="Lato"/>
                <w:b/>
                <w:bCs/>
                <w:sz w:val="20"/>
                <w:szCs w:val="20"/>
              </w:rPr>
              <w:t>Version</w:t>
            </w:r>
          </w:p>
        </w:tc>
        <w:tc>
          <w:tcPr>
            <w:tcW w:w="1797" w:type="dxa"/>
          </w:tcPr>
          <w:p w14:paraId="20F0A3EE" w14:textId="77777777" w:rsidR="00032512" w:rsidRPr="0040743C" w:rsidRDefault="00032512" w:rsidP="00820811">
            <w:pPr>
              <w:jc w:val="center"/>
              <w:rPr>
                <w:rFonts w:ascii="Lato" w:eastAsiaTheme="minorEastAsia" w:hAnsi="Lato"/>
                <w:b/>
                <w:bCs/>
                <w:sz w:val="20"/>
                <w:szCs w:val="20"/>
              </w:rPr>
            </w:pPr>
            <w:r w:rsidRPr="0040743C">
              <w:rPr>
                <w:rFonts w:ascii="Lato" w:eastAsiaTheme="minorEastAsia" w:hAnsi="Lato"/>
                <w:b/>
                <w:bCs/>
                <w:sz w:val="20"/>
                <w:szCs w:val="20"/>
              </w:rPr>
              <w:t>Issue Date</w:t>
            </w:r>
          </w:p>
        </w:tc>
        <w:tc>
          <w:tcPr>
            <w:tcW w:w="1797" w:type="dxa"/>
          </w:tcPr>
          <w:p w14:paraId="4ACD9696" w14:textId="77777777" w:rsidR="00032512" w:rsidRPr="0040743C" w:rsidRDefault="00032512" w:rsidP="00820811">
            <w:pPr>
              <w:jc w:val="center"/>
              <w:rPr>
                <w:rFonts w:ascii="Lato" w:eastAsiaTheme="minorEastAsia" w:hAnsi="Lato"/>
                <w:b/>
                <w:bCs/>
                <w:sz w:val="20"/>
                <w:szCs w:val="20"/>
              </w:rPr>
            </w:pPr>
            <w:r w:rsidRPr="0040743C">
              <w:rPr>
                <w:rFonts w:ascii="Lato" w:eastAsiaTheme="minorEastAsia" w:hAnsi="Lato"/>
                <w:b/>
                <w:bCs/>
                <w:sz w:val="20"/>
                <w:szCs w:val="20"/>
              </w:rPr>
              <w:t>Review Date</w:t>
            </w:r>
          </w:p>
        </w:tc>
        <w:tc>
          <w:tcPr>
            <w:tcW w:w="1708" w:type="dxa"/>
          </w:tcPr>
          <w:p w14:paraId="4C16CA04" w14:textId="77777777" w:rsidR="00032512" w:rsidRPr="0040743C" w:rsidRDefault="00032512" w:rsidP="00820811">
            <w:pPr>
              <w:jc w:val="center"/>
              <w:rPr>
                <w:rFonts w:ascii="Lato" w:eastAsiaTheme="minorEastAsia" w:hAnsi="Lato"/>
                <w:b/>
                <w:bCs/>
                <w:sz w:val="20"/>
                <w:szCs w:val="20"/>
              </w:rPr>
            </w:pPr>
            <w:r w:rsidRPr="0040743C">
              <w:rPr>
                <w:rFonts w:ascii="Lato" w:eastAsiaTheme="minorEastAsia" w:hAnsi="Lato"/>
                <w:b/>
                <w:bCs/>
                <w:sz w:val="20"/>
                <w:szCs w:val="20"/>
              </w:rPr>
              <w:t>Contact Person</w:t>
            </w:r>
          </w:p>
        </w:tc>
        <w:tc>
          <w:tcPr>
            <w:tcW w:w="1762" w:type="dxa"/>
          </w:tcPr>
          <w:p w14:paraId="2150C6E8" w14:textId="77777777" w:rsidR="00032512" w:rsidRPr="0040743C" w:rsidRDefault="00032512" w:rsidP="00820811">
            <w:pPr>
              <w:jc w:val="center"/>
              <w:rPr>
                <w:rFonts w:ascii="Lato" w:eastAsiaTheme="minorEastAsia" w:hAnsi="Lato"/>
                <w:b/>
                <w:bCs/>
                <w:sz w:val="20"/>
                <w:szCs w:val="20"/>
              </w:rPr>
            </w:pPr>
            <w:r w:rsidRPr="0040743C">
              <w:rPr>
                <w:rFonts w:ascii="Lato" w:eastAsiaTheme="minorEastAsia" w:hAnsi="Lato"/>
                <w:b/>
                <w:bCs/>
                <w:sz w:val="20"/>
                <w:szCs w:val="20"/>
              </w:rPr>
              <w:t>Comments</w:t>
            </w:r>
          </w:p>
        </w:tc>
      </w:tr>
      <w:tr w:rsidR="00032512" w:rsidRPr="002F6210" w14:paraId="0F8B279D" w14:textId="77777777" w:rsidTr="00820811">
        <w:trPr>
          <w:trHeight w:val="616"/>
        </w:trPr>
        <w:tc>
          <w:tcPr>
            <w:tcW w:w="1870" w:type="dxa"/>
          </w:tcPr>
          <w:p w14:paraId="10E9F8C2" w14:textId="2659A0C5" w:rsidR="00032512" w:rsidRPr="002F6210" w:rsidRDefault="00032512" w:rsidP="00820811">
            <w:pPr>
              <w:jc w:val="center"/>
              <w:rPr>
                <w:rFonts w:ascii="Lato" w:eastAsiaTheme="minorEastAsia" w:hAnsi="Lato"/>
                <w:sz w:val="20"/>
                <w:szCs w:val="20"/>
              </w:rPr>
            </w:pPr>
            <w:r>
              <w:rPr>
                <w:rFonts w:ascii="Lato" w:eastAsiaTheme="minorEastAsia" w:hAnsi="Lato"/>
                <w:sz w:val="20"/>
                <w:szCs w:val="20"/>
              </w:rPr>
              <w:t xml:space="preserve">S </w:t>
            </w:r>
            <w:r w:rsidR="00C26CA9">
              <w:rPr>
                <w:rFonts w:ascii="Lato" w:eastAsiaTheme="minorEastAsia" w:hAnsi="Lato"/>
                <w:sz w:val="20"/>
                <w:szCs w:val="20"/>
              </w:rPr>
              <w:t>Galinson</w:t>
            </w:r>
          </w:p>
        </w:tc>
        <w:tc>
          <w:tcPr>
            <w:tcW w:w="1693" w:type="dxa"/>
          </w:tcPr>
          <w:p w14:paraId="7AF8D721" w14:textId="77777777" w:rsidR="00032512" w:rsidRPr="002F6210" w:rsidRDefault="00032512" w:rsidP="00820811">
            <w:pPr>
              <w:jc w:val="center"/>
              <w:rPr>
                <w:rFonts w:ascii="Lato" w:eastAsiaTheme="minorEastAsia" w:hAnsi="Lato"/>
                <w:sz w:val="20"/>
                <w:szCs w:val="20"/>
              </w:rPr>
            </w:pPr>
            <w:r w:rsidRPr="002F6210">
              <w:rPr>
                <w:rFonts w:ascii="Lato" w:eastAsiaTheme="minorEastAsia" w:hAnsi="Lato"/>
                <w:sz w:val="20"/>
                <w:szCs w:val="20"/>
              </w:rPr>
              <w:t>1</w:t>
            </w:r>
          </w:p>
        </w:tc>
        <w:tc>
          <w:tcPr>
            <w:tcW w:w="1797" w:type="dxa"/>
          </w:tcPr>
          <w:p w14:paraId="37621715" w14:textId="77777777" w:rsidR="00032512" w:rsidRPr="002F6210" w:rsidRDefault="00032512" w:rsidP="00820811">
            <w:pPr>
              <w:jc w:val="center"/>
              <w:rPr>
                <w:rFonts w:ascii="Lato" w:eastAsiaTheme="minorEastAsia" w:hAnsi="Lato"/>
                <w:sz w:val="20"/>
                <w:szCs w:val="20"/>
              </w:rPr>
            </w:pPr>
            <w:r>
              <w:rPr>
                <w:rFonts w:ascii="Lato" w:eastAsiaTheme="minorEastAsia" w:hAnsi="Lato"/>
                <w:sz w:val="20"/>
                <w:szCs w:val="20"/>
              </w:rPr>
              <w:t>March 2023</w:t>
            </w:r>
          </w:p>
        </w:tc>
        <w:tc>
          <w:tcPr>
            <w:tcW w:w="1797" w:type="dxa"/>
          </w:tcPr>
          <w:p w14:paraId="491C517A" w14:textId="77777777" w:rsidR="00032512" w:rsidRPr="002F6210" w:rsidRDefault="00032512" w:rsidP="00820811">
            <w:pPr>
              <w:jc w:val="center"/>
              <w:rPr>
                <w:rFonts w:ascii="Lato" w:eastAsiaTheme="minorEastAsia" w:hAnsi="Lato"/>
                <w:sz w:val="20"/>
                <w:szCs w:val="20"/>
              </w:rPr>
            </w:pPr>
            <w:r>
              <w:rPr>
                <w:rFonts w:ascii="Lato" w:eastAsiaTheme="minorEastAsia" w:hAnsi="Lato"/>
                <w:sz w:val="20"/>
                <w:szCs w:val="20"/>
              </w:rPr>
              <w:t>March 2024</w:t>
            </w:r>
          </w:p>
        </w:tc>
        <w:tc>
          <w:tcPr>
            <w:tcW w:w="1708" w:type="dxa"/>
          </w:tcPr>
          <w:p w14:paraId="5E6E8EC8" w14:textId="77777777" w:rsidR="00032512" w:rsidRPr="002F6210" w:rsidRDefault="00032512" w:rsidP="00820811">
            <w:pPr>
              <w:jc w:val="center"/>
              <w:rPr>
                <w:rFonts w:ascii="Lato" w:eastAsiaTheme="minorEastAsia" w:hAnsi="Lato"/>
                <w:sz w:val="20"/>
                <w:szCs w:val="20"/>
              </w:rPr>
            </w:pPr>
            <w:r>
              <w:rPr>
                <w:rFonts w:ascii="Lato" w:eastAsiaTheme="minorEastAsia" w:hAnsi="Lato"/>
                <w:sz w:val="20"/>
                <w:szCs w:val="20"/>
              </w:rPr>
              <w:t>A.Rasheed</w:t>
            </w:r>
          </w:p>
        </w:tc>
        <w:tc>
          <w:tcPr>
            <w:tcW w:w="1762" w:type="dxa"/>
          </w:tcPr>
          <w:p w14:paraId="52688A36" w14:textId="77777777" w:rsidR="00032512" w:rsidRPr="002F6210" w:rsidRDefault="00032512" w:rsidP="00820811">
            <w:pPr>
              <w:jc w:val="center"/>
              <w:rPr>
                <w:rFonts w:ascii="Lato" w:eastAsiaTheme="minorEastAsia" w:hAnsi="Lato"/>
                <w:sz w:val="20"/>
                <w:szCs w:val="20"/>
              </w:rPr>
            </w:pPr>
          </w:p>
        </w:tc>
      </w:tr>
      <w:tr w:rsidR="005103ED" w:rsidRPr="002F6210" w14:paraId="69A5CF86" w14:textId="77777777" w:rsidTr="00820811">
        <w:trPr>
          <w:trHeight w:val="616"/>
        </w:trPr>
        <w:tc>
          <w:tcPr>
            <w:tcW w:w="1870" w:type="dxa"/>
          </w:tcPr>
          <w:p w14:paraId="5EEBDD64" w14:textId="1987D42C" w:rsidR="005103ED" w:rsidRDefault="005103ED" w:rsidP="00820811">
            <w:pPr>
              <w:jc w:val="center"/>
              <w:rPr>
                <w:rFonts w:ascii="Lato" w:eastAsiaTheme="minorEastAsia" w:hAnsi="Lato"/>
                <w:sz w:val="20"/>
                <w:szCs w:val="20"/>
              </w:rPr>
            </w:pPr>
            <w:r>
              <w:rPr>
                <w:rFonts w:ascii="Lato" w:eastAsiaTheme="minorEastAsia" w:hAnsi="Lato"/>
                <w:sz w:val="20"/>
                <w:szCs w:val="20"/>
              </w:rPr>
              <w:t>S Galinson</w:t>
            </w:r>
          </w:p>
        </w:tc>
        <w:tc>
          <w:tcPr>
            <w:tcW w:w="1693" w:type="dxa"/>
          </w:tcPr>
          <w:p w14:paraId="19991CFF" w14:textId="0AE35755" w:rsidR="005103ED" w:rsidRPr="002F6210" w:rsidRDefault="005103ED" w:rsidP="00820811">
            <w:pPr>
              <w:jc w:val="center"/>
              <w:rPr>
                <w:rFonts w:ascii="Lato" w:eastAsiaTheme="minorEastAsia" w:hAnsi="Lato"/>
                <w:sz w:val="20"/>
                <w:szCs w:val="20"/>
              </w:rPr>
            </w:pPr>
            <w:r>
              <w:rPr>
                <w:rFonts w:ascii="Lato" w:eastAsiaTheme="minorEastAsia" w:hAnsi="Lato"/>
                <w:sz w:val="20"/>
                <w:szCs w:val="20"/>
              </w:rPr>
              <w:t>2</w:t>
            </w:r>
          </w:p>
        </w:tc>
        <w:tc>
          <w:tcPr>
            <w:tcW w:w="1797" w:type="dxa"/>
          </w:tcPr>
          <w:p w14:paraId="21FA2A0C" w14:textId="274DAC2A" w:rsidR="005103ED" w:rsidRDefault="005103ED" w:rsidP="00820811">
            <w:pPr>
              <w:jc w:val="center"/>
              <w:rPr>
                <w:rFonts w:ascii="Lato" w:eastAsiaTheme="minorEastAsia" w:hAnsi="Lato"/>
                <w:sz w:val="20"/>
                <w:szCs w:val="20"/>
              </w:rPr>
            </w:pPr>
            <w:r>
              <w:rPr>
                <w:rFonts w:ascii="Lato" w:eastAsiaTheme="minorEastAsia" w:hAnsi="Lato"/>
                <w:sz w:val="20"/>
                <w:szCs w:val="20"/>
              </w:rPr>
              <w:t>20/10/2023</w:t>
            </w:r>
          </w:p>
        </w:tc>
        <w:tc>
          <w:tcPr>
            <w:tcW w:w="1797" w:type="dxa"/>
          </w:tcPr>
          <w:p w14:paraId="152BC5CF" w14:textId="4CD0429F" w:rsidR="005103ED" w:rsidRDefault="005103ED" w:rsidP="00820811">
            <w:pPr>
              <w:jc w:val="center"/>
              <w:rPr>
                <w:rFonts w:ascii="Lato" w:eastAsiaTheme="minorEastAsia" w:hAnsi="Lato"/>
                <w:sz w:val="20"/>
                <w:szCs w:val="20"/>
              </w:rPr>
            </w:pPr>
            <w:r>
              <w:rPr>
                <w:rFonts w:ascii="Lato" w:eastAsiaTheme="minorEastAsia" w:hAnsi="Lato"/>
                <w:sz w:val="20"/>
                <w:szCs w:val="20"/>
              </w:rPr>
              <w:t>20/10/2024</w:t>
            </w:r>
          </w:p>
        </w:tc>
        <w:tc>
          <w:tcPr>
            <w:tcW w:w="1708" w:type="dxa"/>
          </w:tcPr>
          <w:p w14:paraId="4B50598F" w14:textId="115B8E0E" w:rsidR="005103ED" w:rsidRDefault="005103ED" w:rsidP="00820811">
            <w:pPr>
              <w:jc w:val="center"/>
              <w:rPr>
                <w:rFonts w:ascii="Lato" w:eastAsiaTheme="minorEastAsia" w:hAnsi="Lato"/>
                <w:sz w:val="20"/>
                <w:szCs w:val="20"/>
              </w:rPr>
            </w:pPr>
            <w:r>
              <w:rPr>
                <w:rFonts w:ascii="Lato" w:eastAsiaTheme="minorEastAsia" w:hAnsi="Lato"/>
                <w:sz w:val="20"/>
                <w:szCs w:val="20"/>
              </w:rPr>
              <w:t>P Lloyd</w:t>
            </w:r>
          </w:p>
        </w:tc>
        <w:tc>
          <w:tcPr>
            <w:tcW w:w="1762" w:type="dxa"/>
          </w:tcPr>
          <w:p w14:paraId="6488A81A" w14:textId="2E668598" w:rsidR="005103ED" w:rsidRPr="002F6210" w:rsidRDefault="00C87CBE" w:rsidP="00820811">
            <w:pPr>
              <w:jc w:val="center"/>
              <w:rPr>
                <w:rFonts w:ascii="Lato" w:eastAsiaTheme="minorEastAsia" w:hAnsi="Lato"/>
                <w:sz w:val="20"/>
                <w:szCs w:val="20"/>
              </w:rPr>
            </w:pPr>
            <w:r>
              <w:rPr>
                <w:rFonts w:ascii="Lato" w:eastAsiaTheme="minorEastAsia" w:hAnsi="Lato"/>
                <w:sz w:val="20"/>
                <w:szCs w:val="20"/>
              </w:rPr>
              <w:t>Senior Safeguarding Officer Contact Update</w:t>
            </w:r>
          </w:p>
        </w:tc>
      </w:tr>
      <w:tr w:rsidR="0020202E" w:rsidRPr="002F6210" w14:paraId="655FCE42" w14:textId="77777777" w:rsidTr="00820811">
        <w:trPr>
          <w:trHeight w:val="616"/>
        </w:trPr>
        <w:tc>
          <w:tcPr>
            <w:tcW w:w="1870" w:type="dxa"/>
          </w:tcPr>
          <w:p w14:paraId="6242E65D" w14:textId="0F9CB1AA" w:rsidR="0020202E" w:rsidRDefault="0020202E" w:rsidP="00820811">
            <w:pPr>
              <w:jc w:val="center"/>
              <w:rPr>
                <w:rFonts w:ascii="Lato" w:eastAsiaTheme="minorEastAsia" w:hAnsi="Lato"/>
                <w:sz w:val="20"/>
                <w:szCs w:val="20"/>
              </w:rPr>
            </w:pPr>
            <w:r>
              <w:rPr>
                <w:rFonts w:ascii="Lato" w:eastAsiaTheme="minorEastAsia" w:hAnsi="Lato"/>
                <w:sz w:val="20"/>
                <w:szCs w:val="20"/>
              </w:rPr>
              <w:t>S Galinson</w:t>
            </w:r>
          </w:p>
        </w:tc>
        <w:tc>
          <w:tcPr>
            <w:tcW w:w="1693" w:type="dxa"/>
          </w:tcPr>
          <w:p w14:paraId="3B8C5920" w14:textId="09588314" w:rsidR="0020202E" w:rsidRDefault="0020202E" w:rsidP="00820811">
            <w:pPr>
              <w:jc w:val="center"/>
              <w:rPr>
                <w:rFonts w:ascii="Lato" w:eastAsiaTheme="minorEastAsia" w:hAnsi="Lato"/>
                <w:sz w:val="20"/>
                <w:szCs w:val="20"/>
              </w:rPr>
            </w:pPr>
            <w:r>
              <w:rPr>
                <w:rFonts w:ascii="Lato" w:eastAsiaTheme="minorEastAsia" w:hAnsi="Lato"/>
                <w:sz w:val="20"/>
                <w:szCs w:val="20"/>
              </w:rPr>
              <w:t>3</w:t>
            </w:r>
          </w:p>
        </w:tc>
        <w:tc>
          <w:tcPr>
            <w:tcW w:w="1797" w:type="dxa"/>
          </w:tcPr>
          <w:p w14:paraId="1243E437" w14:textId="373F682C" w:rsidR="0020202E" w:rsidRDefault="0020202E" w:rsidP="00820811">
            <w:pPr>
              <w:jc w:val="center"/>
              <w:rPr>
                <w:rFonts w:ascii="Lato" w:eastAsiaTheme="minorEastAsia" w:hAnsi="Lato"/>
                <w:sz w:val="20"/>
                <w:szCs w:val="20"/>
              </w:rPr>
            </w:pPr>
            <w:r>
              <w:rPr>
                <w:rFonts w:ascii="Lato" w:eastAsiaTheme="minorEastAsia" w:hAnsi="Lato"/>
                <w:sz w:val="20"/>
                <w:szCs w:val="20"/>
              </w:rPr>
              <w:t>20/10/2024</w:t>
            </w:r>
          </w:p>
        </w:tc>
        <w:tc>
          <w:tcPr>
            <w:tcW w:w="1797" w:type="dxa"/>
          </w:tcPr>
          <w:p w14:paraId="5196BF50" w14:textId="2B920E43" w:rsidR="0020202E" w:rsidRDefault="0020202E" w:rsidP="00820811">
            <w:pPr>
              <w:jc w:val="center"/>
              <w:rPr>
                <w:rFonts w:ascii="Lato" w:eastAsiaTheme="minorEastAsia" w:hAnsi="Lato"/>
                <w:sz w:val="20"/>
                <w:szCs w:val="20"/>
              </w:rPr>
            </w:pPr>
            <w:r>
              <w:rPr>
                <w:rFonts w:ascii="Lato" w:eastAsiaTheme="minorEastAsia" w:hAnsi="Lato"/>
                <w:sz w:val="20"/>
                <w:szCs w:val="20"/>
              </w:rPr>
              <w:t>20/10/2025</w:t>
            </w:r>
          </w:p>
        </w:tc>
        <w:tc>
          <w:tcPr>
            <w:tcW w:w="1708" w:type="dxa"/>
          </w:tcPr>
          <w:p w14:paraId="1F3635C8" w14:textId="78B9B387" w:rsidR="0020202E" w:rsidRDefault="0020202E" w:rsidP="00820811">
            <w:pPr>
              <w:jc w:val="center"/>
              <w:rPr>
                <w:rFonts w:ascii="Lato" w:eastAsiaTheme="minorEastAsia" w:hAnsi="Lato"/>
                <w:sz w:val="20"/>
                <w:szCs w:val="20"/>
              </w:rPr>
            </w:pPr>
            <w:r>
              <w:rPr>
                <w:rFonts w:ascii="Lato" w:eastAsiaTheme="minorEastAsia" w:hAnsi="Lato"/>
                <w:sz w:val="20"/>
                <w:szCs w:val="20"/>
              </w:rPr>
              <w:t>J Comper</w:t>
            </w:r>
          </w:p>
        </w:tc>
        <w:tc>
          <w:tcPr>
            <w:tcW w:w="1762" w:type="dxa"/>
          </w:tcPr>
          <w:p w14:paraId="7DBA0BB3" w14:textId="778C9175" w:rsidR="0020202E" w:rsidRDefault="0020202E" w:rsidP="00820811">
            <w:pPr>
              <w:jc w:val="center"/>
              <w:rPr>
                <w:rFonts w:ascii="Lato" w:eastAsiaTheme="minorEastAsia" w:hAnsi="Lato"/>
                <w:sz w:val="20"/>
                <w:szCs w:val="20"/>
              </w:rPr>
            </w:pPr>
            <w:r>
              <w:rPr>
                <w:rFonts w:ascii="Lato" w:eastAsiaTheme="minorEastAsia" w:hAnsi="Lato"/>
                <w:sz w:val="20"/>
                <w:szCs w:val="20"/>
              </w:rPr>
              <w:t>Senior Safeguarding Officer Contact Update</w:t>
            </w:r>
          </w:p>
        </w:tc>
      </w:tr>
    </w:tbl>
    <w:p w14:paraId="013FF7C5" w14:textId="77777777" w:rsidR="00A01326" w:rsidRDefault="00A01326">
      <w:pPr>
        <w:rPr>
          <w:noProof/>
        </w:rPr>
      </w:pPr>
    </w:p>
    <w:p w14:paraId="5478CC16" w14:textId="1A3DDE22" w:rsidR="001E0CD2" w:rsidRPr="00C4125D" w:rsidRDefault="001E0CD2" w:rsidP="001E0CD2">
      <w:pPr>
        <w:jc w:val="center"/>
        <w:rPr>
          <w:rFonts w:ascii="Lato" w:hAnsi="Lato"/>
          <w:color w:val="002060"/>
          <w:sz w:val="32"/>
          <w:szCs w:val="32"/>
        </w:rPr>
      </w:pPr>
      <w:r>
        <w:rPr>
          <w:rFonts w:ascii="Lato" w:hAnsi="Lato"/>
          <w:color w:val="002060"/>
          <w:sz w:val="32"/>
          <w:szCs w:val="32"/>
        </w:rPr>
        <w:t>Easy Read Policy</w:t>
      </w:r>
    </w:p>
    <w:p w14:paraId="393A39BD" w14:textId="2BD26247" w:rsidR="001E0CD2" w:rsidRDefault="001E0CD2" w:rsidP="001E0CD2">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p w14:paraId="41111B4E" w14:textId="77777777" w:rsidR="001E0CD2" w:rsidRDefault="001E0CD2">
      <w:pPr>
        <w:rPr>
          <w:rFonts w:ascii="Lato" w:hAnsi="Lato"/>
          <w:color w:val="002060"/>
          <w:sz w:val="32"/>
          <w:szCs w:val="32"/>
        </w:rPr>
      </w:pPr>
      <w:r>
        <w:rPr>
          <w:rFonts w:ascii="Lato" w:hAnsi="Lato"/>
          <w:color w:val="002060"/>
          <w:sz w:val="32"/>
          <w:szCs w:val="32"/>
        </w:rPr>
        <w:br w:type="page"/>
      </w:r>
    </w:p>
    <w:p w14:paraId="0226F6B0" w14:textId="688B9822" w:rsidR="001E0CD2" w:rsidRDefault="001E0CD2" w:rsidP="001E0CD2">
      <w:pPr>
        <w:jc w:val="center"/>
        <w:rPr>
          <w:rFonts w:ascii="Lato" w:hAnsi="Lato"/>
          <w:color w:val="002060"/>
          <w:sz w:val="32"/>
          <w:szCs w:val="32"/>
        </w:rPr>
      </w:pPr>
    </w:p>
    <w:p w14:paraId="1DAF0189" w14:textId="77777777" w:rsidR="001E0CD2" w:rsidRDefault="001E0CD2">
      <w:pPr>
        <w:rPr>
          <w:rFonts w:ascii="Lato" w:hAnsi="Lato"/>
          <w:color w:val="002060"/>
          <w:sz w:val="32"/>
          <w:szCs w:val="32"/>
        </w:rPr>
      </w:pPr>
    </w:p>
    <w:p w14:paraId="29CF8F5E" w14:textId="77777777" w:rsidR="001E0CD2" w:rsidRDefault="001E0CD2">
      <w:pPr>
        <w:rPr>
          <w:rFonts w:ascii="Lato" w:hAnsi="Lato"/>
          <w:color w:val="002060"/>
          <w:sz w:val="32"/>
          <w:szCs w:val="32"/>
        </w:rPr>
      </w:pPr>
    </w:p>
    <w:p w14:paraId="2FE1108E" w14:textId="77777777" w:rsidR="001E0CD2" w:rsidRDefault="001E0CD2">
      <w:pPr>
        <w:rPr>
          <w:rFonts w:ascii="Lato" w:hAnsi="Lato"/>
          <w:color w:val="002060"/>
          <w:sz w:val="32"/>
          <w:szCs w:val="32"/>
        </w:rPr>
      </w:pPr>
    </w:p>
    <w:p w14:paraId="3FDE2325" w14:textId="77777777" w:rsidR="00DA0C2D" w:rsidRPr="00070D11" w:rsidRDefault="00DA0C2D" w:rsidP="00DA0C2D">
      <w:pPr>
        <w:rPr>
          <w:rFonts w:ascii="Lato" w:hAnsi="Lato" w:cstheme="minorHAnsi"/>
          <w:i/>
          <w:iCs/>
          <w:color w:val="002060"/>
          <w:sz w:val="20"/>
          <w:szCs w:val="20"/>
          <w:u w:val="single"/>
        </w:rPr>
      </w:pPr>
      <w:r w:rsidRPr="00070D11">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03A2AC1C" w14:textId="77777777" w:rsidR="008C4833" w:rsidRPr="00070D11" w:rsidRDefault="001405BA">
      <w:pPr>
        <w:rPr>
          <w:rFonts w:ascii="Lato" w:hAnsi="Lato"/>
          <w:color w:val="002060"/>
          <w:sz w:val="20"/>
          <w:szCs w:val="20"/>
        </w:rPr>
      </w:pPr>
      <w:r w:rsidRPr="00070D11">
        <w:rPr>
          <w:rFonts w:ascii="Lato" w:hAnsi="Lato"/>
          <w:color w:val="002060"/>
          <w:sz w:val="20"/>
          <w:szCs w:val="20"/>
        </w:rPr>
        <w:t xml:space="preserve">Policy Purpose </w:t>
      </w:r>
    </w:p>
    <w:p w14:paraId="04CE15B9" w14:textId="6282C1CF" w:rsidR="001405BA" w:rsidRPr="00070D11" w:rsidRDefault="001405BA">
      <w:pPr>
        <w:rPr>
          <w:rFonts w:ascii="Lato" w:hAnsi="Lato"/>
          <w:color w:val="002060"/>
          <w:sz w:val="20"/>
          <w:szCs w:val="20"/>
        </w:rPr>
      </w:pPr>
      <w:r w:rsidRPr="00070D11">
        <w:rPr>
          <w:rFonts w:ascii="Lato" w:hAnsi="Lato"/>
          <w:color w:val="002060"/>
          <w:sz w:val="20"/>
          <w:szCs w:val="20"/>
        </w:rPr>
        <w:t xml:space="preserve">This safeguarding policy reflects the safeguarding ethos at </w:t>
      </w:r>
      <w:r w:rsidR="002348A0" w:rsidRPr="00070D11">
        <w:rPr>
          <w:rFonts w:ascii="Lato" w:hAnsi="Lato"/>
          <w:color w:val="002060"/>
          <w:sz w:val="20"/>
          <w:szCs w:val="20"/>
        </w:rPr>
        <w:t>GFC. Gillingham FC</w:t>
      </w:r>
      <w:r w:rsidRPr="00070D11">
        <w:rPr>
          <w:rFonts w:ascii="Lato" w:hAnsi="Lato"/>
          <w:color w:val="002060"/>
          <w:sz w:val="20"/>
          <w:szCs w:val="20"/>
        </w:rPr>
        <w:t xml:space="preserve"> is committed to safeguarding and promoting the welfare of young people and adults at risk and expects all staff, volunteers and visitors </w:t>
      </w:r>
      <w:r w:rsidR="008C4833" w:rsidRPr="00070D11">
        <w:rPr>
          <w:rFonts w:ascii="Lato" w:hAnsi="Lato"/>
          <w:color w:val="002060"/>
          <w:sz w:val="20"/>
          <w:szCs w:val="20"/>
        </w:rPr>
        <w:t>to share</w:t>
      </w:r>
      <w:r w:rsidRPr="00070D11">
        <w:rPr>
          <w:rFonts w:ascii="Lato" w:hAnsi="Lato"/>
          <w:color w:val="002060"/>
          <w:sz w:val="20"/>
          <w:szCs w:val="20"/>
        </w:rPr>
        <w:t xml:space="preserve"> this commitment. </w:t>
      </w:r>
    </w:p>
    <w:p w14:paraId="0E2DB039" w14:textId="00611E4A" w:rsidR="006261A5" w:rsidRPr="00070D11" w:rsidRDefault="001405BA">
      <w:pPr>
        <w:rPr>
          <w:rFonts w:ascii="Lato" w:hAnsi="Lato"/>
          <w:color w:val="002060"/>
          <w:sz w:val="20"/>
          <w:szCs w:val="20"/>
        </w:rPr>
      </w:pPr>
      <w:r w:rsidRPr="00070D11">
        <w:rPr>
          <w:rFonts w:ascii="Lato" w:hAnsi="Lato"/>
          <w:color w:val="002060"/>
          <w:sz w:val="20"/>
          <w:szCs w:val="20"/>
        </w:rPr>
        <w:t>This is an easy read version of the main ‘</w:t>
      </w:r>
      <w:r w:rsidR="002348A0" w:rsidRPr="00070D11">
        <w:rPr>
          <w:rFonts w:ascii="Lato" w:hAnsi="Lato"/>
          <w:color w:val="002060"/>
          <w:sz w:val="20"/>
          <w:szCs w:val="20"/>
        </w:rPr>
        <w:t>G</w:t>
      </w:r>
      <w:r w:rsidRPr="00070D11">
        <w:rPr>
          <w:rFonts w:ascii="Lato" w:hAnsi="Lato"/>
          <w:color w:val="002060"/>
          <w:sz w:val="20"/>
          <w:szCs w:val="20"/>
        </w:rPr>
        <w:t xml:space="preserve">FC Safeguarding and Child Protection Policy’. </w:t>
      </w:r>
    </w:p>
    <w:p w14:paraId="467DEADB" w14:textId="15FA042E" w:rsidR="006261A5" w:rsidRPr="00070D11" w:rsidRDefault="001405BA">
      <w:pPr>
        <w:rPr>
          <w:rFonts w:ascii="Lato" w:hAnsi="Lato"/>
          <w:color w:val="002060"/>
          <w:sz w:val="20"/>
          <w:szCs w:val="20"/>
        </w:rPr>
      </w:pPr>
      <w:r w:rsidRPr="00070D11">
        <w:rPr>
          <w:rFonts w:ascii="Lato" w:hAnsi="Lato"/>
          <w:color w:val="002060"/>
          <w:sz w:val="20"/>
          <w:szCs w:val="20"/>
        </w:rPr>
        <w:t xml:space="preserve">The main safeguarding policy is a point of reference for all policies and reference material used by </w:t>
      </w:r>
      <w:r w:rsidR="002348A0" w:rsidRPr="00070D11">
        <w:rPr>
          <w:rFonts w:ascii="Lato" w:hAnsi="Lato"/>
          <w:color w:val="002060"/>
          <w:sz w:val="20"/>
          <w:szCs w:val="20"/>
        </w:rPr>
        <w:t>G</w:t>
      </w:r>
      <w:r w:rsidRPr="00070D11">
        <w:rPr>
          <w:rFonts w:ascii="Lato" w:hAnsi="Lato"/>
          <w:color w:val="002060"/>
          <w:sz w:val="20"/>
          <w:szCs w:val="20"/>
        </w:rPr>
        <w:t xml:space="preserve">FC. </w:t>
      </w:r>
    </w:p>
    <w:p w14:paraId="1AFF1F35" w14:textId="04479FF7" w:rsidR="009E5335" w:rsidRPr="00070D11" w:rsidRDefault="001405BA">
      <w:pPr>
        <w:rPr>
          <w:rFonts w:ascii="Lato" w:hAnsi="Lato"/>
          <w:color w:val="002060"/>
          <w:sz w:val="20"/>
          <w:szCs w:val="20"/>
        </w:rPr>
      </w:pPr>
      <w:r w:rsidRPr="00070D11">
        <w:rPr>
          <w:rFonts w:ascii="Lato" w:hAnsi="Lato"/>
          <w:color w:val="002060"/>
          <w:sz w:val="20"/>
          <w:szCs w:val="20"/>
        </w:rPr>
        <w:t>The ‘</w:t>
      </w:r>
      <w:r w:rsidR="002348A0" w:rsidRPr="00070D11">
        <w:rPr>
          <w:rFonts w:ascii="Lato" w:hAnsi="Lato"/>
          <w:color w:val="002060"/>
          <w:sz w:val="20"/>
          <w:szCs w:val="20"/>
        </w:rPr>
        <w:t>G</w:t>
      </w:r>
      <w:r w:rsidRPr="00070D11">
        <w:rPr>
          <w:rFonts w:ascii="Lato" w:hAnsi="Lato"/>
          <w:color w:val="002060"/>
          <w:sz w:val="20"/>
          <w:szCs w:val="20"/>
        </w:rPr>
        <w:t xml:space="preserve">FC Safeguarding Adults at Risk Policy’ reflects the same ethos. In addition, the safeguarding policy aims to promote the safety and wellbeing of the young and vulnerable and to provide assurance to parents, carers and other parties. </w:t>
      </w:r>
    </w:p>
    <w:p w14:paraId="32D8F893" w14:textId="77777777" w:rsidR="009E5335" w:rsidRPr="00070D11" w:rsidRDefault="001405BA">
      <w:pPr>
        <w:rPr>
          <w:rFonts w:ascii="Lato" w:hAnsi="Lato"/>
          <w:color w:val="002060"/>
          <w:sz w:val="20"/>
          <w:szCs w:val="20"/>
        </w:rPr>
      </w:pPr>
      <w:r w:rsidRPr="00070D11">
        <w:rPr>
          <w:rFonts w:ascii="Lato" w:hAnsi="Lato"/>
          <w:color w:val="002060"/>
          <w:sz w:val="20"/>
          <w:szCs w:val="20"/>
        </w:rPr>
        <w:t xml:space="preserve">Who this policy applies to </w:t>
      </w:r>
    </w:p>
    <w:p w14:paraId="480AAC27" w14:textId="123B453C" w:rsidR="009E5335" w:rsidRPr="00070D11" w:rsidRDefault="001405BA">
      <w:pPr>
        <w:rPr>
          <w:rFonts w:ascii="Lato" w:hAnsi="Lato"/>
          <w:color w:val="002060"/>
          <w:sz w:val="20"/>
          <w:szCs w:val="20"/>
        </w:rPr>
      </w:pPr>
      <w:r w:rsidRPr="00070D11">
        <w:rPr>
          <w:rFonts w:ascii="Lato" w:hAnsi="Lato"/>
          <w:color w:val="002060"/>
          <w:sz w:val="20"/>
          <w:szCs w:val="20"/>
        </w:rPr>
        <w:t xml:space="preserve">This policy and its operating principles, apply to all staff and volunteers (including all players) of </w:t>
      </w:r>
      <w:r w:rsidR="00DF5513" w:rsidRPr="00070D11">
        <w:rPr>
          <w:rFonts w:ascii="Lato" w:hAnsi="Lato"/>
          <w:color w:val="002060"/>
          <w:sz w:val="20"/>
          <w:szCs w:val="20"/>
        </w:rPr>
        <w:t>G</w:t>
      </w:r>
      <w:r w:rsidRPr="00070D11">
        <w:rPr>
          <w:rFonts w:ascii="Lato" w:hAnsi="Lato"/>
          <w:color w:val="002060"/>
          <w:sz w:val="20"/>
          <w:szCs w:val="20"/>
        </w:rPr>
        <w:t xml:space="preserve">FC, irrespective of the type of contract on which they are employed or the hours and days that they work, or the nominated location at which they work. </w:t>
      </w:r>
    </w:p>
    <w:p w14:paraId="49857703" w14:textId="646AFD77" w:rsidR="009E5335" w:rsidRPr="00070D11" w:rsidRDefault="001405BA">
      <w:pPr>
        <w:rPr>
          <w:rFonts w:ascii="Lato" w:hAnsi="Lato"/>
          <w:color w:val="002060"/>
          <w:sz w:val="20"/>
          <w:szCs w:val="20"/>
        </w:rPr>
      </w:pPr>
      <w:r w:rsidRPr="00070D11">
        <w:rPr>
          <w:rFonts w:ascii="Lato" w:hAnsi="Lato"/>
          <w:color w:val="002060"/>
          <w:sz w:val="20"/>
          <w:szCs w:val="20"/>
        </w:rPr>
        <w:t xml:space="preserve">The policy also applies to any other individual, worker or consultant who is engaged by, or does work on behalf of, or for, </w:t>
      </w:r>
      <w:r w:rsidR="00DF5513" w:rsidRPr="00070D11">
        <w:rPr>
          <w:rFonts w:ascii="Lato" w:hAnsi="Lato"/>
          <w:color w:val="002060"/>
          <w:sz w:val="20"/>
          <w:szCs w:val="20"/>
        </w:rPr>
        <w:t>G</w:t>
      </w:r>
      <w:r w:rsidRPr="00070D11">
        <w:rPr>
          <w:rFonts w:ascii="Lato" w:hAnsi="Lato"/>
          <w:color w:val="002060"/>
          <w:sz w:val="20"/>
          <w:szCs w:val="20"/>
        </w:rPr>
        <w:t xml:space="preserve">FC. This policy does not form part of any employee’s contract of employment. </w:t>
      </w:r>
    </w:p>
    <w:p w14:paraId="456DE420" w14:textId="77777777" w:rsidR="00D7325A" w:rsidRPr="00070D11" w:rsidRDefault="001405BA">
      <w:pPr>
        <w:rPr>
          <w:rFonts w:ascii="Lato" w:hAnsi="Lato"/>
          <w:color w:val="002060"/>
          <w:sz w:val="20"/>
          <w:szCs w:val="20"/>
        </w:rPr>
      </w:pPr>
      <w:r w:rsidRPr="00070D11">
        <w:rPr>
          <w:rFonts w:ascii="Lato" w:hAnsi="Lato"/>
          <w:color w:val="002060"/>
          <w:sz w:val="20"/>
          <w:szCs w:val="20"/>
        </w:rPr>
        <w:t xml:space="preserve">Key Safeguarding Terminology and Definitions </w:t>
      </w:r>
    </w:p>
    <w:p w14:paraId="129B9483" w14:textId="3356D973" w:rsidR="00D7325A" w:rsidRPr="00070D11" w:rsidRDefault="001405BA">
      <w:pPr>
        <w:rPr>
          <w:rFonts w:ascii="Lato" w:hAnsi="Lato"/>
          <w:color w:val="002060"/>
          <w:sz w:val="20"/>
          <w:szCs w:val="20"/>
        </w:rPr>
      </w:pPr>
      <w:r w:rsidRPr="00070D11">
        <w:rPr>
          <w:rFonts w:ascii="Lato" w:hAnsi="Lato"/>
          <w:color w:val="002060"/>
          <w:sz w:val="20"/>
          <w:szCs w:val="20"/>
        </w:rPr>
        <w:t xml:space="preserve">• </w:t>
      </w:r>
      <w:r w:rsidR="002348A0" w:rsidRPr="00070D11">
        <w:rPr>
          <w:rFonts w:ascii="Lato" w:hAnsi="Lato"/>
          <w:color w:val="002060"/>
          <w:sz w:val="20"/>
          <w:szCs w:val="20"/>
        </w:rPr>
        <w:t>G</w:t>
      </w:r>
      <w:r w:rsidRPr="00070D11">
        <w:rPr>
          <w:rFonts w:ascii="Lato" w:hAnsi="Lato"/>
          <w:color w:val="002060"/>
          <w:sz w:val="20"/>
          <w:szCs w:val="20"/>
        </w:rPr>
        <w:t xml:space="preserve">FC / </w:t>
      </w:r>
      <w:r w:rsidR="002348A0" w:rsidRPr="00070D11">
        <w:rPr>
          <w:rFonts w:ascii="Lato" w:hAnsi="Lato"/>
          <w:color w:val="002060"/>
          <w:sz w:val="20"/>
          <w:szCs w:val="20"/>
        </w:rPr>
        <w:t>T</w:t>
      </w:r>
      <w:r w:rsidRPr="00070D11">
        <w:rPr>
          <w:rFonts w:ascii="Lato" w:hAnsi="Lato"/>
          <w:color w:val="002060"/>
          <w:sz w:val="20"/>
          <w:szCs w:val="20"/>
        </w:rPr>
        <w:t xml:space="preserve">he Club – </w:t>
      </w:r>
      <w:r w:rsidR="002348A0" w:rsidRPr="00070D11">
        <w:rPr>
          <w:rFonts w:ascii="Lato" w:hAnsi="Lato"/>
          <w:color w:val="002060"/>
          <w:sz w:val="20"/>
          <w:szCs w:val="20"/>
        </w:rPr>
        <w:t>Gillingham</w:t>
      </w:r>
      <w:r w:rsidRPr="00070D11">
        <w:rPr>
          <w:rFonts w:ascii="Lato" w:hAnsi="Lato"/>
          <w:color w:val="002060"/>
          <w:sz w:val="20"/>
          <w:szCs w:val="20"/>
        </w:rPr>
        <w:t xml:space="preserve"> Football Club. Any property or training ground belonging to or where </w:t>
      </w:r>
      <w:r w:rsidR="002348A0" w:rsidRPr="00070D11">
        <w:rPr>
          <w:rFonts w:ascii="Lato" w:hAnsi="Lato"/>
          <w:color w:val="002060"/>
          <w:sz w:val="20"/>
          <w:szCs w:val="20"/>
        </w:rPr>
        <w:t>G</w:t>
      </w:r>
      <w:r w:rsidRPr="00070D11">
        <w:rPr>
          <w:rFonts w:ascii="Lato" w:hAnsi="Lato"/>
          <w:color w:val="002060"/>
          <w:sz w:val="20"/>
          <w:szCs w:val="20"/>
        </w:rPr>
        <w:t xml:space="preserve">FC operate, or where their activities occur. </w:t>
      </w:r>
    </w:p>
    <w:p w14:paraId="29279835" w14:textId="77777777" w:rsidR="00D7325A" w:rsidRPr="00070D11" w:rsidRDefault="001405BA">
      <w:pPr>
        <w:rPr>
          <w:rFonts w:ascii="Lato" w:hAnsi="Lato"/>
          <w:color w:val="002060"/>
          <w:sz w:val="20"/>
          <w:szCs w:val="20"/>
        </w:rPr>
      </w:pPr>
      <w:r w:rsidRPr="00070D11">
        <w:rPr>
          <w:rFonts w:ascii="Lato" w:hAnsi="Lato"/>
          <w:color w:val="002060"/>
          <w:sz w:val="20"/>
          <w:szCs w:val="20"/>
        </w:rPr>
        <w:t xml:space="preserve">• FA – Football Association </w:t>
      </w:r>
    </w:p>
    <w:p w14:paraId="3B123C49" w14:textId="27C555A9" w:rsidR="00D7325A" w:rsidRPr="00070D11" w:rsidRDefault="001405BA">
      <w:pPr>
        <w:rPr>
          <w:rFonts w:ascii="Lato" w:hAnsi="Lato"/>
          <w:color w:val="002060"/>
          <w:sz w:val="20"/>
          <w:szCs w:val="20"/>
        </w:rPr>
      </w:pPr>
      <w:r w:rsidRPr="00070D11">
        <w:rPr>
          <w:rFonts w:ascii="Lato" w:hAnsi="Lato"/>
          <w:color w:val="002060"/>
          <w:sz w:val="20"/>
          <w:szCs w:val="20"/>
        </w:rPr>
        <w:t xml:space="preserve">• EFL – English Football League  </w:t>
      </w:r>
    </w:p>
    <w:p w14:paraId="178E8B21" w14:textId="72763D77" w:rsidR="00D7325A" w:rsidRPr="00070D11" w:rsidRDefault="001405BA">
      <w:pPr>
        <w:rPr>
          <w:rFonts w:ascii="Lato" w:hAnsi="Lato"/>
          <w:color w:val="002060"/>
          <w:sz w:val="20"/>
          <w:szCs w:val="20"/>
        </w:rPr>
      </w:pPr>
      <w:r w:rsidRPr="00070D11">
        <w:rPr>
          <w:rFonts w:ascii="Lato" w:hAnsi="Lato"/>
          <w:color w:val="002060"/>
          <w:sz w:val="20"/>
          <w:szCs w:val="20"/>
        </w:rPr>
        <w:t xml:space="preserve">• Staff – paid or unpaid workers, agency or </w:t>
      </w:r>
      <w:r w:rsidR="002348A0" w:rsidRPr="00070D11">
        <w:rPr>
          <w:rFonts w:ascii="Lato" w:hAnsi="Lato"/>
          <w:color w:val="002060"/>
          <w:sz w:val="20"/>
          <w:szCs w:val="20"/>
        </w:rPr>
        <w:t>third-party</w:t>
      </w:r>
      <w:r w:rsidRPr="00070D11">
        <w:rPr>
          <w:rFonts w:ascii="Lato" w:hAnsi="Lato"/>
          <w:color w:val="002060"/>
          <w:sz w:val="20"/>
          <w:szCs w:val="20"/>
        </w:rPr>
        <w:t xml:space="preserve"> workers, volunteers; who provides a service </w:t>
      </w:r>
    </w:p>
    <w:p w14:paraId="593828B3" w14:textId="77777777" w:rsidR="006C05B6" w:rsidRPr="00070D11" w:rsidRDefault="001405BA">
      <w:pPr>
        <w:rPr>
          <w:rFonts w:ascii="Lato" w:hAnsi="Lato"/>
          <w:color w:val="002060"/>
          <w:sz w:val="20"/>
          <w:szCs w:val="20"/>
        </w:rPr>
      </w:pPr>
      <w:r w:rsidRPr="00070D11">
        <w:rPr>
          <w:rFonts w:ascii="Lato" w:hAnsi="Lato"/>
          <w:color w:val="002060"/>
          <w:sz w:val="20"/>
          <w:szCs w:val="20"/>
        </w:rPr>
        <w:t xml:space="preserve">• DSO – Designated Safeguarding Officer </w:t>
      </w:r>
    </w:p>
    <w:p w14:paraId="38B043F3" w14:textId="77777777" w:rsidR="006C05B6" w:rsidRPr="00070D11" w:rsidRDefault="001405BA">
      <w:pPr>
        <w:rPr>
          <w:rFonts w:ascii="Lato" w:hAnsi="Lato"/>
          <w:color w:val="002060"/>
          <w:sz w:val="20"/>
          <w:szCs w:val="20"/>
        </w:rPr>
      </w:pPr>
      <w:r w:rsidRPr="00070D11">
        <w:rPr>
          <w:rFonts w:ascii="Lato" w:hAnsi="Lato"/>
          <w:color w:val="002060"/>
          <w:sz w:val="20"/>
          <w:szCs w:val="20"/>
        </w:rPr>
        <w:t xml:space="preserve">• SSM – Senior Safeguarding Manager </w:t>
      </w:r>
    </w:p>
    <w:p w14:paraId="697DE703" w14:textId="77777777" w:rsidR="006C05B6" w:rsidRPr="00070D11" w:rsidRDefault="001405BA">
      <w:pPr>
        <w:rPr>
          <w:rFonts w:ascii="Lato" w:hAnsi="Lato"/>
          <w:color w:val="002060"/>
          <w:sz w:val="20"/>
          <w:szCs w:val="20"/>
        </w:rPr>
      </w:pPr>
      <w:r w:rsidRPr="00070D11">
        <w:rPr>
          <w:rFonts w:ascii="Lato" w:hAnsi="Lato"/>
          <w:color w:val="002060"/>
          <w:sz w:val="20"/>
          <w:szCs w:val="20"/>
        </w:rPr>
        <w:t xml:space="preserve">• DLO – Disability Liaison Officer </w:t>
      </w:r>
    </w:p>
    <w:p w14:paraId="0D052559" w14:textId="6B7CF22B" w:rsidR="006C05B6" w:rsidRPr="00070D11" w:rsidRDefault="001405BA">
      <w:pPr>
        <w:rPr>
          <w:rFonts w:ascii="Lato" w:hAnsi="Lato"/>
          <w:color w:val="002060"/>
          <w:sz w:val="20"/>
          <w:szCs w:val="20"/>
        </w:rPr>
      </w:pPr>
      <w:r w:rsidRPr="00070D11">
        <w:rPr>
          <w:rFonts w:ascii="Lato" w:hAnsi="Lato"/>
          <w:color w:val="002060"/>
          <w:sz w:val="20"/>
          <w:szCs w:val="20"/>
        </w:rPr>
        <w:t xml:space="preserve">• The Academy - The standalone Academy department within </w:t>
      </w:r>
      <w:r w:rsidR="00ED74F7" w:rsidRPr="00070D11">
        <w:rPr>
          <w:rFonts w:ascii="Lato" w:hAnsi="Lato"/>
          <w:color w:val="002060"/>
          <w:sz w:val="20"/>
          <w:szCs w:val="20"/>
        </w:rPr>
        <w:t>G</w:t>
      </w:r>
      <w:r w:rsidRPr="00070D11">
        <w:rPr>
          <w:rFonts w:ascii="Lato" w:hAnsi="Lato"/>
          <w:color w:val="002060"/>
          <w:sz w:val="20"/>
          <w:szCs w:val="20"/>
        </w:rPr>
        <w:t xml:space="preserve">FC responsible for nurturing and developing </w:t>
      </w:r>
      <w:r w:rsidR="00ED74F7" w:rsidRPr="00070D11">
        <w:rPr>
          <w:rFonts w:ascii="Lato" w:hAnsi="Lato"/>
          <w:color w:val="002060"/>
          <w:sz w:val="20"/>
          <w:szCs w:val="20"/>
        </w:rPr>
        <w:t>G</w:t>
      </w:r>
      <w:r w:rsidRPr="00070D11">
        <w:rPr>
          <w:rFonts w:ascii="Lato" w:hAnsi="Lato"/>
          <w:color w:val="002060"/>
          <w:sz w:val="20"/>
          <w:szCs w:val="20"/>
        </w:rPr>
        <w:t xml:space="preserve">FCs future generations of players. </w:t>
      </w:r>
    </w:p>
    <w:p w14:paraId="6F32E150" w14:textId="77777777" w:rsidR="006C05B6" w:rsidRPr="00070D11" w:rsidRDefault="001405BA">
      <w:pPr>
        <w:rPr>
          <w:rFonts w:ascii="Lato" w:hAnsi="Lato"/>
          <w:color w:val="002060"/>
          <w:sz w:val="20"/>
          <w:szCs w:val="20"/>
        </w:rPr>
      </w:pPr>
      <w:r w:rsidRPr="00070D11">
        <w:rPr>
          <w:rFonts w:ascii="Lato" w:hAnsi="Lato"/>
          <w:color w:val="002060"/>
          <w:sz w:val="20"/>
          <w:szCs w:val="20"/>
        </w:rPr>
        <w:t xml:space="preserve">• Child or young person – Defined by the Children’s Act (1989) as any young person under the age of 18. </w:t>
      </w:r>
    </w:p>
    <w:p w14:paraId="62B52352" w14:textId="77777777" w:rsidR="006C05B6" w:rsidRPr="00070D11" w:rsidRDefault="001405BA">
      <w:pPr>
        <w:rPr>
          <w:rFonts w:ascii="Lato" w:hAnsi="Lato"/>
          <w:color w:val="002060"/>
          <w:sz w:val="20"/>
          <w:szCs w:val="20"/>
        </w:rPr>
      </w:pPr>
      <w:r w:rsidRPr="00070D11">
        <w:rPr>
          <w:rFonts w:ascii="Lato" w:hAnsi="Lato"/>
          <w:color w:val="002060"/>
          <w:sz w:val="20"/>
          <w:szCs w:val="20"/>
        </w:rPr>
        <w:t xml:space="preserve">• Safeguarding - refers to the actions we take to ensure all children are safe from harm when involved in our clubs and activities. </w:t>
      </w:r>
    </w:p>
    <w:p w14:paraId="066E4554" w14:textId="77777777" w:rsidR="006C05B6" w:rsidRPr="00070D11" w:rsidRDefault="006C05B6">
      <w:pPr>
        <w:rPr>
          <w:rFonts w:ascii="Lato" w:hAnsi="Lato"/>
          <w:color w:val="002060"/>
          <w:sz w:val="20"/>
          <w:szCs w:val="20"/>
        </w:rPr>
      </w:pPr>
    </w:p>
    <w:p w14:paraId="247B76EC" w14:textId="77777777" w:rsidR="006C05B6" w:rsidRPr="00070D11" w:rsidRDefault="006C05B6">
      <w:pPr>
        <w:rPr>
          <w:rFonts w:ascii="Lato" w:hAnsi="Lato"/>
          <w:color w:val="002060"/>
          <w:sz w:val="20"/>
          <w:szCs w:val="20"/>
        </w:rPr>
      </w:pPr>
    </w:p>
    <w:p w14:paraId="0ECCC395" w14:textId="77777777" w:rsidR="00F231DC" w:rsidRPr="00070D11" w:rsidRDefault="00F231DC">
      <w:pPr>
        <w:rPr>
          <w:rFonts w:ascii="Lato" w:hAnsi="Lato"/>
          <w:color w:val="002060"/>
          <w:sz w:val="20"/>
          <w:szCs w:val="20"/>
        </w:rPr>
      </w:pPr>
    </w:p>
    <w:p w14:paraId="70A3DD7D" w14:textId="77777777" w:rsidR="00F231DC" w:rsidRPr="00070D11" w:rsidRDefault="00F231DC">
      <w:pPr>
        <w:rPr>
          <w:rFonts w:ascii="Lato" w:hAnsi="Lato"/>
          <w:color w:val="002060"/>
          <w:sz w:val="20"/>
          <w:szCs w:val="20"/>
        </w:rPr>
      </w:pPr>
    </w:p>
    <w:p w14:paraId="76A6CA94" w14:textId="77777777" w:rsidR="00F231DC" w:rsidRPr="00070D11" w:rsidRDefault="00F231DC">
      <w:pPr>
        <w:rPr>
          <w:rFonts w:ascii="Lato" w:hAnsi="Lato"/>
          <w:color w:val="002060"/>
          <w:sz w:val="20"/>
          <w:szCs w:val="20"/>
        </w:rPr>
      </w:pPr>
    </w:p>
    <w:p w14:paraId="309B9BFB" w14:textId="77777777" w:rsidR="00F231DC" w:rsidRPr="00070D11" w:rsidRDefault="00F231DC">
      <w:pPr>
        <w:rPr>
          <w:rFonts w:ascii="Lato" w:hAnsi="Lato"/>
          <w:color w:val="002060"/>
          <w:sz w:val="20"/>
          <w:szCs w:val="20"/>
        </w:rPr>
      </w:pPr>
    </w:p>
    <w:p w14:paraId="2613DA9E" w14:textId="77777777" w:rsidR="00F231DC" w:rsidRPr="00070D11" w:rsidRDefault="00F231DC">
      <w:pPr>
        <w:rPr>
          <w:rFonts w:ascii="Lato" w:hAnsi="Lato"/>
          <w:color w:val="002060"/>
          <w:sz w:val="20"/>
          <w:szCs w:val="20"/>
        </w:rPr>
      </w:pPr>
    </w:p>
    <w:p w14:paraId="05A6E0C0" w14:textId="77777777" w:rsidR="00ED74F7" w:rsidRPr="00070D11" w:rsidRDefault="00ED74F7">
      <w:pPr>
        <w:rPr>
          <w:rFonts w:ascii="Lato" w:hAnsi="Lato"/>
          <w:color w:val="002060"/>
          <w:sz w:val="20"/>
          <w:szCs w:val="20"/>
        </w:rPr>
      </w:pPr>
    </w:p>
    <w:p w14:paraId="657C6C7D" w14:textId="77777777" w:rsidR="00ED74F7" w:rsidRPr="00070D11" w:rsidRDefault="00ED74F7">
      <w:pPr>
        <w:rPr>
          <w:rFonts w:ascii="Lato" w:hAnsi="Lato"/>
          <w:color w:val="002060"/>
          <w:sz w:val="20"/>
          <w:szCs w:val="20"/>
        </w:rPr>
      </w:pPr>
    </w:p>
    <w:p w14:paraId="03B24390" w14:textId="715AE9F9" w:rsidR="00F231DC" w:rsidRPr="00070D11" w:rsidRDefault="001405BA">
      <w:pPr>
        <w:rPr>
          <w:rFonts w:ascii="Lato" w:hAnsi="Lato"/>
          <w:color w:val="002060"/>
          <w:sz w:val="20"/>
          <w:szCs w:val="20"/>
        </w:rPr>
      </w:pPr>
      <w:r w:rsidRPr="00070D11">
        <w:rPr>
          <w:rFonts w:ascii="Lato" w:hAnsi="Lato"/>
          <w:color w:val="002060"/>
          <w:sz w:val="20"/>
          <w:szCs w:val="20"/>
        </w:rPr>
        <w:t xml:space="preserve">• Child Protection - is a set of activities that are required for specific children who are at risk/or are suffering from significant harm. </w:t>
      </w:r>
    </w:p>
    <w:p w14:paraId="3F77AD46" w14:textId="4D6CEC61" w:rsidR="00F231DC" w:rsidRPr="00070D11" w:rsidRDefault="001405BA">
      <w:pPr>
        <w:rPr>
          <w:rFonts w:ascii="Lato" w:hAnsi="Lato"/>
          <w:color w:val="002060"/>
          <w:sz w:val="20"/>
          <w:szCs w:val="20"/>
        </w:rPr>
      </w:pPr>
      <w:r w:rsidRPr="00070D11">
        <w:rPr>
          <w:rFonts w:ascii="Lato" w:hAnsi="Lato"/>
          <w:color w:val="002060"/>
          <w:sz w:val="20"/>
          <w:szCs w:val="20"/>
        </w:rPr>
        <w:t xml:space="preserve">• Abuse - refers to the acts of commission or omission that </w:t>
      </w:r>
      <w:r w:rsidR="00ED74F7" w:rsidRPr="00070D11">
        <w:rPr>
          <w:rFonts w:ascii="Lato" w:hAnsi="Lato"/>
          <w:color w:val="002060"/>
          <w:sz w:val="20"/>
          <w:szCs w:val="20"/>
        </w:rPr>
        <w:t>led</w:t>
      </w:r>
      <w:r w:rsidRPr="00070D11">
        <w:rPr>
          <w:rFonts w:ascii="Lato" w:hAnsi="Lato"/>
          <w:color w:val="002060"/>
          <w:sz w:val="20"/>
          <w:szCs w:val="20"/>
        </w:rPr>
        <w:t xml:space="preserve"> to a child experiencing harm. </w:t>
      </w:r>
    </w:p>
    <w:p w14:paraId="29D5B3A4" w14:textId="77777777" w:rsidR="00F231DC" w:rsidRPr="00070D11" w:rsidRDefault="001405BA">
      <w:pPr>
        <w:rPr>
          <w:rFonts w:ascii="Lato" w:hAnsi="Lato"/>
          <w:color w:val="002060"/>
          <w:sz w:val="20"/>
          <w:szCs w:val="20"/>
        </w:rPr>
      </w:pPr>
      <w:r w:rsidRPr="00070D11">
        <w:rPr>
          <w:rFonts w:ascii="Lato" w:hAnsi="Lato"/>
          <w:color w:val="002060"/>
          <w:sz w:val="20"/>
          <w:szCs w:val="20"/>
        </w:rPr>
        <w:t xml:space="preserve">• Harm - refers to the negative impact or consequences upon the child of those actions. </w:t>
      </w:r>
    </w:p>
    <w:p w14:paraId="2D02AA84" w14:textId="77777777" w:rsidR="00F231DC" w:rsidRPr="00070D11" w:rsidRDefault="001405BA">
      <w:pPr>
        <w:rPr>
          <w:rFonts w:ascii="Lato" w:hAnsi="Lato"/>
          <w:color w:val="002060"/>
          <w:sz w:val="20"/>
          <w:szCs w:val="20"/>
        </w:rPr>
      </w:pPr>
      <w:r w:rsidRPr="00070D11">
        <w:rPr>
          <w:rFonts w:ascii="Lato" w:hAnsi="Lato"/>
          <w:color w:val="002060"/>
          <w:sz w:val="20"/>
          <w:szCs w:val="20"/>
        </w:rPr>
        <w:t xml:space="preserve">• Significant Harm - The Children Act 1989 introduced the concept of significant harm as the threshold that justifies compulsory intervention in family life in the best interests of children. </w:t>
      </w:r>
    </w:p>
    <w:p w14:paraId="6FB694BF" w14:textId="77777777" w:rsidR="00F231DC" w:rsidRPr="00070D11" w:rsidRDefault="001405BA">
      <w:pPr>
        <w:rPr>
          <w:rFonts w:ascii="Lato" w:hAnsi="Lato"/>
          <w:color w:val="002060"/>
          <w:sz w:val="20"/>
          <w:szCs w:val="20"/>
        </w:rPr>
      </w:pPr>
      <w:r w:rsidRPr="00070D11">
        <w:rPr>
          <w:rFonts w:ascii="Lato" w:hAnsi="Lato"/>
          <w:color w:val="002060"/>
          <w:sz w:val="20"/>
          <w:szCs w:val="20"/>
        </w:rPr>
        <w:t xml:space="preserve">• Violence - refers to “all forms of physical or mental violence, injury and abuse, neglect or negligent treatment, maltreatment or exploitation, including sexual abuse.” </w:t>
      </w:r>
    </w:p>
    <w:p w14:paraId="1D594626" w14:textId="77EC0964" w:rsidR="00C45DBF" w:rsidRPr="00070D11" w:rsidRDefault="001405BA">
      <w:pPr>
        <w:rPr>
          <w:rFonts w:ascii="Lato" w:hAnsi="Lato"/>
          <w:color w:val="002060"/>
          <w:sz w:val="20"/>
          <w:szCs w:val="20"/>
        </w:rPr>
      </w:pPr>
      <w:r w:rsidRPr="00070D11">
        <w:rPr>
          <w:rFonts w:ascii="Lato" w:hAnsi="Lato"/>
          <w:color w:val="002060"/>
          <w:sz w:val="20"/>
          <w:szCs w:val="20"/>
        </w:rPr>
        <w:t xml:space="preserve">Policy statement </w:t>
      </w:r>
      <w:r w:rsidR="00A71F48" w:rsidRPr="00070D11">
        <w:rPr>
          <w:rFonts w:ascii="Lato" w:hAnsi="Lato"/>
          <w:color w:val="002060"/>
          <w:sz w:val="20"/>
          <w:szCs w:val="20"/>
        </w:rPr>
        <w:t>G</w:t>
      </w:r>
      <w:r w:rsidRPr="00070D11">
        <w:rPr>
          <w:rFonts w:ascii="Lato" w:hAnsi="Lato"/>
          <w:color w:val="002060"/>
          <w:sz w:val="20"/>
          <w:szCs w:val="20"/>
        </w:rPr>
        <w:t xml:space="preserve">FC takes its responsibilities very seriously regarding providing a safe and positive environment where children and vulnerable adults are present at any of its </w:t>
      </w:r>
      <w:r w:rsidR="00A71F48" w:rsidRPr="00070D11">
        <w:rPr>
          <w:rFonts w:ascii="Lato" w:hAnsi="Lato"/>
          <w:color w:val="002060"/>
          <w:sz w:val="20"/>
          <w:szCs w:val="20"/>
        </w:rPr>
        <w:t>G</w:t>
      </w:r>
      <w:r w:rsidRPr="00070D11">
        <w:rPr>
          <w:rFonts w:ascii="Lato" w:hAnsi="Lato"/>
          <w:color w:val="002060"/>
          <w:sz w:val="20"/>
          <w:szCs w:val="20"/>
        </w:rPr>
        <w:t xml:space="preserve">FC led activities and (under the supervision) of one or more members of our staff. </w:t>
      </w:r>
    </w:p>
    <w:p w14:paraId="547BA1D7" w14:textId="77777777" w:rsidR="00A71F48" w:rsidRPr="00070D11" w:rsidRDefault="001405BA">
      <w:pPr>
        <w:rPr>
          <w:rFonts w:ascii="Lato" w:hAnsi="Lato"/>
          <w:color w:val="002060"/>
          <w:sz w:val="20"/>
          <w:szCs w:val="20"/>
        </w:rPr>
      </w:pPr>
      <w:r w:rsidRPr="00070D11">
        <w:rPr>
          <w:rFonts w:ascii="Lato" w:hAnsi="Lato"/>
          <w:color w:val="002060"/>
          <w:sz w:val="20"/>
          <w:szCs w:val="20"/>
        </w:rPr>
        <w:t xml:space="preserve">All children and vulnerable people, regardless of age, disability, gender, gender reassignment, pregnancy and maternity, marriage and civil partnership, race, religion and/or sexual orientation (defined as Protected Characteristics within the Equality Act 2010) have the right to equal protection from all types of harm or abuse. </w:t>
      </w:r>
    </w:p>
    <w:p w14:paraId="5DD7314B" w14:textId="4C6EDF5C" w:rsidR="00C45DBF" w:rsidRPr="00070D11" w:rsidRDefault="001405BA">
      <w:pPr>
        <w:rPr>
          <w:rFonts w:ascii="Lato" w:hAnsi="Lato"/>
          <w:color w:val="002060"/>
          <w:sz w:val="20"/>
          <w:szCs w:val="20"/>
        </w:rPr>
      </w:pPr>
      <w:r w:rsidRPr="00070D11">
        <w:rPr>
          <w:rFonts w:ascii="Lato" w:hAnsi="Lato"/>
          <w:color w:val="002060"/>
          <w:sz w:val="20"/>
          <w:szCs w:val="20"/>
        </w:rPr>
        <w:t xml:space="preserve">The Care Act 2014 has widened the scope of safeguarding and the responsibilities to promote the well-being of adults at risk. Safeguarding is the responsibility of everyone and </w:t>
      </w:r>
      <w:r w:rsidR="00A71F48" w:rsidRPr="00070D11">
        <w:rPr>
          <w:rFonts w:ascii="Lato" w:hAnsi="Lato"/>
          <w:color w:val="002060"/>
          <w:sz w:val="20"/>
          <w:szCs w:val="20"/>
        </w:rPr>
        <w:t>G</w:t>
      </w:r>
      <w:r w:rsidRPr="00070D11">
        <w:rPr>
          <w:rFonts w:ascii="Lato" w:hAnsi="Lato"/>
          <w:color w:val="002060"/>
          <w:sz w:val="20"/>
          <w:szCs w:val="20"/>
        </w:rPr>
        <w:t xml:space="preserve">FC support this ethos. </w:t>
      </w:r>
    </w:p>
    <w:p w14:paraId="273999AB" w14:textId="77777777" w:rsidR="00C45DBF" w:rsidRPr="00070D11" w:rsidRDefault="001405BA">
      <w:pPr>
        <w:rPr>
          <w:rFonts w:ascii="Lato" w:hAnsi="Lato"/>
          <w:color w:val="002060"/>
          <w:sz w:val="20"/>
          <w:szCs w:val="20"/>
        </w:rPr>
      </w:pPr>
      <w:r w:rsidRPr="00070D11">
        <w:rPr>
          <w:rFonts w:ascii="Lato" w:hAnsi="Lato"/>
          <w:color w:val="002060"/>
          <w:sz w:val="20"/>
          <w:szCs w:val="20"/>
        </w:rPr>
        <w:t xml:space="preserve">The Care Act 2014 is used in conjunction with a number of other legislation and guidance to provide a safe environment. </w:t>
      </w:r>
    </w:p>
    <w:p w14:paraId="244A87D4" w14:textId="011E56F3" w:rsidR="00C45DBF" w:rsidRPr="00070D11" w:rsidRDefault="001405BA">
      <w:pPr>
        <w:rPr>
          <w:rFonts w:ascii="Lato" w:hAnsi="Lato"/>
          <w:color w:val="002060"/>
          <w:sz w:val="20"/>
          <w:szCs w:val="20"/>
        </w:rPr>
      </w:pPr>
      <w:r w:rsidRPr="00070D11">
        <w:rPr>
          <w:rFonts w:ascii="Lato" w:hAnsi="Lato"/>
          <w:color w:val="002060"/>
          <w:sz w:val="20"/>
          <w:szCs w:val="20"/>
        </w:rPr>
        <w:t xml:space="preserve">All participants and visitors to </w:t>
      </w:r>
      <w:r w:rsidR="00A71F48" w:rsidRPr="00070D11">
        <w:rPr>
          <w:rFonts w:ascii="Lato" w:hAnsi="Lato"/>
          <w:color w:val="002060"/>
          <w:sz w:val="20"/>
          <w:szCs w:val="20"/>
        </w:rPr>
        <w:t>G</w:t>
      </w:r>
      <w:r w:rsidRPr="00070D11">
        <w:rPr>
          <w:rFonts w:ascii="Lato" w:hAnsi="Lato"/>
          <w:color w:val="002060"/>
          <w:sz w:val="20"/>
          <w:szCs w:val="20"/>
        </w:rPr>
        <w:t xml:space="preserve">FC activities have the right to feel safe and to be safe. </w:t>
      </w:r>
    </w:p>
    <w:p w14:paraId="2F296FA3" w14:textId="77777777" w:rsidR="00534F77" w:rsidRPr="00070D11" w:rsidRDefault="001405BA">
      <w:pPr>
        <w:rPr>
          <w:rFonts w:ascii="Lato" w:hAnsi="Lato"/>
          <w:color w:val="002060"/>
          <w:sz w:val="20"/>
          <w:szCs w:val="20"/>
        </w:rPr>
      </w:pPr>
      <w:r w:rsidRPr="00070D11">
        <w:rPr>
          <w:rFonts w:ascii="Lato" w:hAnsi="Lato"/>
          <w:color w:val="002060"/>
          <w:sz w:val="20"/>
          <w:szCs w:val="20"/>
        </w:rPr>
        <w:t xml:space="preserve">Wherever they come into contact with us they will be treated both lawfully and fairly and with both dignity and respect. All the members of our staff have a duty to keep children safe and to help protect them from abuse or harm. All managers ensure that their staff understand and apply that duty. </w:t>
      </w:r>
    </w:p>
    <w:p w14:paraId="70345608" w14:textId="4A03772C" w:rsidR="00534F77" w:rsidRPr="00070D11" w:rsidRDefault="001405BA">
      <w:pPr>
        <w:rPr>
          <w:rFonts w:ascii="Lato" w:hAnsi="Lato"/>
          <w:color w:val="002060"/>
          <w:sz w:val="20"/>
          <w:szCs w:val="20"/>
        </w:rPr>
      </w:pPr>
      <w:r w:rsidRPr="00070D11">
        <w:rPr>
          <w:rFonts w:ascii="Lato" w:hAnsi="Lato"/>
          <w:color w:val="002060"/>
          <w:sz w:val="20"/>
          <w:szCs w:val="20"/>
        </w:rPr>
        <w:t xml:space="preserve">Good safeguarding practice takes many forms. It is a thread that weaves throughout all </w:t>
      </w:r>
      <w:r w:rsidR="00A71F48" w:rsidRPr="00070D11">
        <w:rPr>
          <w:rFonts w:ascii="Lato" w:hAnsi="Lato"/>
          <w:color w:val="002060"/>
          <w:sz w:val="20"/>
          <w:szCs w:val="20"/>
        </w:rPr>
        <w:t>G</w:t>
      </w:r>
      <w:r w:rsidRPr="00070D11">
        <w:rPr>
          <w:rFonts w:ascii="Lato" w:hAnsi="Lato"/>
          <w:color w:val="002060"/>
          <w:sz w:val="20"/>
          <w:szCs w:val="20"/>
        </w:rPr>
        <w:t xml:space="preserve">FC activities that involve children and other vulnerable people. </w:t>
      </w:r>
    </w:p>
    <w:p w14:paraId="6576FEB4" w14:textId="5D19EB8A" w:rsidR="00534F77" w:rsidRPr="00070D11" w:rsidRDefault="001405BA">
      <w:pPr>
        <w:rPr>
          <w:rFonts w:ascii="Lato" w:hAnsi="Lato"/>
          <w:color w:val="002060"/>
          <w:sz w:val="20"/>
          <w:szCs w:val="20"/>
        </w:rPr>
      </w:pPr>
      <w:r w:rsidRPr="00070D11">
        <w:rPr>
          <w:rFonts w:ascii="Lato" w:hAnsi="Lato"/>
          <w:color w:val="002060"/>
          <w:sz w:val="20"/>
          <w:szCs w:val="20"/>
        </w:rPr>
        <w:t xml:space="preserve">This policy applies to all members of </w:t>
      </w:r>
      <w:r w:rsidR="00DF5513" w:rsidRPr="00070D11">
        <w:rPr>
          <w:rFonts w:ascii="Lato" w:hAnsi="Lato"/>
          <w:color w:val="002060"/>
          <w:sz w:val="20"/>
          <w:szCs w:val="20"/>
        </w:rPr>
        <w:t>G</w:t>
      </w:r>
      <w:r w:rsidRPr="00070D11">
        <w:rPr>
          <w:rFonts w:ascii="Lato" w:hAnsi="Lato"/>
          <w:color w:val="002060"/>
          <w:sz w:val="20"/>
          <w:szCs w:val="20"/>
        </w:rPr>
        <w:t xml:space="preserve">FC, from both the paid and volunteer staff, and all partner organisations including commercial partners, licence holders, contractors and consultants. </w:t>
      </w:r>
    </w:p>
    <w:p w14:paraId="527CEA3A" w14:textId="77777777" w:rsidR="00CD6D38" w:rsidRPr="00070D11" w:rsidRDefault="001405BA">
      <w:pPr>
        <w:rPr>
          <w:rFonts w:ascii="Lato" w:hAnsi="Lato"/>
          <w:color w:val="002060"/>
          <w:sz w:val="20"/>
          <w:szCs w:val="20"/>
        </w:rPr>
      </w:pPr>
      <w:r w:rsidRPr="00070D11">
        <w:rPr>
          <w:rFonts w:ascii="Lato" w:hAnsi="Lato"/>
          <w:color w:val="002060"/>
          <w:sz w:val="20"/>
          <w:szCs w:val="20"/>
        </w:rPr>
        <w:t xml:space="preserve">This policy also applies to individuals not included in this list who may be conducting related work that involves the children in our care. </w:t>
      </w:r>
    </w:p>
    <w:p w14:paraId="33894F87" w14:textId="77777777" w:rsidR="00CD6D38" w:rsidRPr="00070D11" w:rsidRDefault="001405BA">
      <w:pPr>
        <w:rPr>
          <w:rFonts w:ascii="Lato" w:hAnsi="Lato"/>
          <w:color w:val="002060"/>
          <w:sz w:val="20"/>
          <w:szCs w:val="20"/>
        </w:rPr>
      </w:pPr>
      <w:r w:rsidRPr="00070D11">
        <w:rPr>
          <w:rFonts w:ascii="Lato" w:hAnsi="Lato"/>
          <w:color w:val="002060"/>
          <w:sz w:val="20"/>
          <w:szCs w:val="20"/>
        </w:rPr>
        <w:t>The policy has been written in line with all relevant Government legislation including the ‘Working Together to Safeguard Children’ guidance published in July 2018 and ‘Keeping Children Safe in Education’ updated September 202</w:t>
      </w:r>
      <w:r w:rsidR="00CD6D38" w:rsidRPr="00070D11">
        <w:rPr>
          <w:rFonts w:ascii="Lato" w:hAnsi="Lato"/>
          <w:color w:val="002060"/>
          <w:sz w:val="20"/>
          <w:szCs w:val="20"/>
        </w:rPr>
        <w:t>3</w:t>
      </w:r>
      <w:r w:rsidRPr="00070D11">
        <w:rPr>
          <w:rFonts w:ascii="Lato" w:hAnsi="Lato"/>
          <w:color w:val="002060"/>
          <w:sz w:val="20"/>
          <w:szCs w:val="20"/>
        </w:rPr>
        <w:t>.</w:t>
      </w:r>
    </w:p>
    <w:p w14:paraId="4A27E0FA" w14:textId="77777777" w:rsidR="000A7948" w:rsidRPr="00070D11" w:rsidRDefault="001405BA">
      <w:pPr>
        <w:rPr>
          <w:rFonts w:ascii="Lato" w:hAnsi="Lato"/>
          <w:color w:val="002060"/>
          <w:sz w:val="20"/>
          <w:szCs w:val="20"/>
        </w:rPr>
      </w:pPr>
      <w:r w:rsidRPr="00070D11">
        <w:rPr>
          <w:rFonts w:ascii="Lato" w:hAnsi="Lato"/>
          <w:color w:val="002060"/>
          <w:sz w:val="20"/>
          <w:szCs w:val="20"/>
        </w:rPr>
        <w:t xml:space="preserve"> Principles of safeguarding children and young people </w:t>
      </w:r>
    </w:p>
    <w:p w14:paraId="694A69BD" w14:textId="77777777" w:rsidR="000A7948" w:rsidRPr="00070D11" w:rsidRDefault="000A7948">
      <w:pPr>
        <w:rPr>
          <w:rFonts w:ascii="Lato" w:hAnsi="Lato"/>
          <w:color w:val="002060"/>
          <w:sz w:val="20"/>
          <w:szCs w:val="20"/>
        </w:rPr>
      </w:pPr>
      <w:r w:rsidRPr="00070D11">
        <w:rPr>
          <w:rFonts w:ascii="Lato" w:hAnsi="Lato"/>
          <w:color w:val="002060"/>
          <w:sz w:val="20"/>
          <w:szCs w:val="20"/>
        </w:rPr>
        <w:t>The</w:t>
      </w:r>
      <w:r w:rsidR="001405BA" w:rsidRPr="00070D11">
        <w:rPr>
          <w:rFonts w:ascii="Lato" w:hAnsi="Lato"/>
          <w:color w:val="002060"/>
          <w:sz w:val="20"/>
          <w:szCs w:val="20"/>
        </w:rPr>
        <w:t xml:space="preserve"> term safeguarding is a shortening of the phrase “safeguarding and promoting the welfare” of children and young people. </w:t>
      </w:r>
    </w:p>
    <w:p w14:paraId="09321A4B" w14:textId="77777777" w:rsidR="000A7948" w:rsidRPr="00070D11" w:rsidRDefault="001405BA">
      <w:pPr>
        <w:rPr>
          <w:rFonts w:ascii="Lato" w:hAnsi="Lato"/>
          <w:color w:val="002060"/>
          <w:sz w:val="20"/>
          <w:szCs w:val="20"/>
        </w:rPr>
      </w:pPr>
      <w:r w:rsidRPr="00070D11">
        <w:rPr>
          <w:rFonts w:ascii="Lato" w:hAnsi="Lato"/>
          <w:color w:val="002060"/>
          <w:sz w:val="20"/>
          <w:szCs w:val="20"/>
        </w:rPr>
        <w:t xml:space="preserve">We follow the 6 principles of safeguarding: </w:t>
      </w:r>
    </w:p>
    <w:p w14:paraId="442F3B32" w14:textId="77777777" w:rsidR="003309D5" w:rsidRPr="00070D11" w:rsidRDefault="001405BA">
      <w:pPr>
        <w:rPr>
          <w:rFonts w:ascii="Lato" w:hAnsi="Lato"/>
          <w:color w:val="002060"/>
          <w:sz w:val="20"/>
          <w:szCs w:val="20"/>
        </w:rPr>
      </w:pPr>
      <w:r w:rsidRPr="00070D11">
        <w:rPr>
          <w:rFonts w:ascii="Lato" w:hAnsi="Lato"/>
          <w:color w:val="002060"/>
          <w:sz w:val="20"/>
          <w:szCs w:val="20"/>
        </w:rPr>
        <w:t xml:space="preserve">1. Empowerment: it is important for a young person to be supported and encouraged to make their own decisions and give informed consent </w:t>
      </w:r>
    </w:p>
    <w:p w14:paraId="62450D1F" w14:textId="77777777" w:rsidR="003309D5" w:rsidRPr="00070D11" w:rsidRDefault="003309D5">
      <w:pPr>
        <w:rPr>
          <w:rFonts w:ascii="Lato" w:hAnsi="Lato"/>
          <w:color w:val="002060"/>
          <w:sz w:val="20"/>
          <w:szCs w:val="20"/>
        </w:rPr>
      </w:pPr>
    </w:p>
    <w:p w14:paraId="613276CD" w14:textId="77777777" w:rsidR="003309D5" w:rsidRPr="00070D11" w:rsidRDefault="003309D5">
      <w:pPr>
        <w:rPr>
          <w:rFonts w:ascii="Lato" w:hAnsi="Lato"/>
          <w:color w:val="002060"/>
          <w:sz w:val="20"/>
          <w:szCs w:val="20"/>
        </w:rPr>
      </w:pPr>
    </w:p>
    <w:p w14:paraId="11E48A3B" w14:textId="77777777" w:rsidR="003309D5" w:rsidRPr="00070D11" w:rsidRDefault="003309D5">
      <w:pPr>
        <w:rPr>
          <w:rFonts w:ascii="Lato" w:hAnsi="Lato"/>
          <w:color w:val="002060"/>
          <w:sz w:val="20"/>
          <w:szCs w:val="20"/>
        </w:rPr>
      </w:pPr>
    </w:p>
    <w:p w14:paraId="62F91F7C" w14:textId="77777777" w:rsidR="003309D5" w:rsidRPr="00070D11" w:rsidRDefault="003309D5">
      <w:pPr>
        <w:rPr>
          <w:rFonts w:ascii="Lato" w:hAnsi="Lato"/>
          <w:color w:val="002060"/>
          <w:sz w:val="20"/>
          <w:szCs w:val="20"/>
        </w:rPr>
      </w:pPr>
    </w:p>
    <w:p w14:paraId="6480CB15" w14:textId="77777777" w:rsidR="003309D5" w:rsidRPr="00070D11" w:rsidRDefault="003309D5">
      <w:pPr>
        <w:rPr>
          <w:rFonts w:ascii="Lato" w:hAnsi="Lato"/>
          <w:color w:val="002060"/>
          <w:sz w:val="20"/>
          <w:szCs w:val="20"/>
        </w:rPr>
      </w:pPr>
    </w:p>
    <w:p w14:paraId="43D252C0" w14:textId="77777777" w:rsidR="003309D5" w:rsidRPr="00070D11" w:rsidRDefault="003309D5">
      <w:pPr>
        <w:rPr>
          <w:rFonts w:ascii="Lato" w:hAnsi="Lato"/>
          <w:color w:val="002060"/>
          <w:sz w:val="20"/>
          <w:szCs w:val="20"/>
        </w:rPr>
      </w:pPr>
    </w:p>
    <w:p w14:paraId="58FEF4C1" w14:textId="77777777" w:rsidR="003309D5" w:rsidRPr="00070D11" w:rsidRDefault="003309D5">
      <w:pPr>
        <w:rPr>
          <w:rFonts w:ascii="Lato" w:hAnsi="Lato"/>
          <w:color w:val="002060"/>
          <w:sz w:val="20"/>
          <w:szCs w:val="20"/>
        </w:rPr>
      </w:pPr>
    </w:p>
    <w:p w14:paraId="547475B9" w14:textId="77777777" w:rsidR="003309D5" w:rsidRPr="00070D11" w:rsidRDefault="001405BA">
      <w:pPr>
        <w:rPr>
          <w:rFonts w:ascii="Lato" w:hAnsi="Lato"/>
          <w:color w:val="002060"/>
          <w:sz w:val="20"/>
          <w:szCs w:val="20"/>
        </w:rPr>
      </w:pPr>
      <w:r w:rsidRPr="00070D11">
        <w:rPr>
          <w:rFonts w:ascii="Lato" w:hAnsi="Lato"/>
          <w:color w:val="002060"/>
          <w:sz w:val="20"/>
          <w:szCs w:val="20"/>
        </w:rPr>
        <w:t xml:space="preserve">2. Prevention: it is better to take action before harm occurs </w:t>
      </w:r>
    </w:p>
    <w:p w14:paraId="159C88F2" w14:textId="77777777" w:rsidR="003309D5" w:rsidRPr="00070D11" w:rsidRDefault="001405BA">
      <w:pPr>
        <w:rPr>
          <w:rFonts w:ascii="Lato" w:hAnsi="Lato"/>
          <w:color w:val="002060"/>
          <w:sz w:val="20"/>
          <w:szCs w:val="20"/>
        </w:rPr>
      </w:pPr>
      <w:r w:rsidRPr="00070D11">
        <w:rPr>
          <w:rFonts w:ascii="Lato" w:hAnsi="Lato"/>
          <w:color w:val="002060"/>
          <w:sz w:val="20"/>
          <w:szCs w:val="20"/>
        </w:rPr>
        <w:t xml:space="preserve">3. Proportionality: the least intrusive response appropriate to the risk presented </w:t>
      </w:r>
    </w:p>
    <w:p w14:paraId="41B8C72C" w14:textId="77777777" w:rsidR="003309D5" w:rsidRPr="00070D11" w:rsidRDefault="001405BA">
      <w:pPr>
        <w:rPr>
          <w:rFonts w:ascii="Lato" w:hAnsi="Lato"/>
          <w:color w:val="002060"/>
          <w:sz w:val="20"/>
          <w:szCs w:val="20"/>
        </w:rPr>
      </w:pPr>
      <w:r w:rsidRPr="00070D11">
        <w:rPr>
          <w:rFonts w:ascii="Lato" w:hAnsi="Lato"/>
          <w:color w:val="002060"/>
          <w:sz w:val="20"/>
          <w:szCs w:val="20"/>
        </w:rPr>
        <w:t xml:space="preserve">4. Protection: support and representation for those in greatest need </w:t>
      </w:r>
    </w:p>
    <w:p w14:paraId="50FF07F6" w14:textId="77777777" w:rsidR="003309D5" w:rsidRPr="00070D11" w:rsidRDefault="001405BA">
      <w:pPr>
        <w:rPr>
          <w:rFonts w:ascii="Lato" w:hAnsi="Lato"/>
          <w:color w:val="002060"/>
          <w:sz w:val="20"/>
          <w:szCs w:val="20"/>
        </w:rPr>
      </w:pPr>
      <w:r w:rsidRPr="00070D11">
        <w:rPr>
          <w:rFonts w:ascii="Lato" w:hAnsi="Lato"/>
          <w:color w:val="002060"/>
          <w:sz w:val="20"/>
          <w:szCs w:val="20"/>
        </w:rPr>
        <w:t xml:space="preserve">5. Partnership: local solutions through services working with their communities – communities have a part to play in preventing, detecting and reporting neglect and abuse </w:t>
      </w:r>
    </w:p>
    <w:p w14:paraId="5324CA38" w14:textId="77777777" w:rsidR="00C65694" w:rsidRPr="00070D11" w:rsidRDefault="001405BA">
      <w:pPr>
        <w:rPr>
          <w:rFonts w:ascii="Lato" w:hAnsi="Lato"/>
          <w:color w:val="002060"/>
          <w:sz w:val="20"/>
          <w:szCs w:val="20"/>
        </w:rPr>
      </w:pPr>
      <w:r w:rsidRPr="00070D11">
        <w:rPr>
          <w:rFonts w:ascii="Lato" w:hAnsi="Lato"/>
          <w:color w:val="002060"/>
          <w:sz w:val="20"/>
          <w:szCs w:val="20"/>
        </w:rPr>
        <w:t xml:space="preserve">6. Accountability: accountability and transparency in safeguarding practice Confidentiality and Managing a Concern </w:t>
      </w:r>
      <w:r w:rsidR="00DF5513" w:rsidRPr="00070D11">
        <w:rPr>
          <w:rFonts w:ascii="Lato" w:hAnsi="Lato"/>
          <w:color w:val="002060"/>
          <w:sz w:val="20"/>
          <w:szCs w:val="20"/>
        </w:rPr>
        <w:t>G</w:t>
      </w:r>
      <w:r w:rsidRPr="00070D11">
        <w:rPr>
          <w:rFonts w:ascii="Lato" w:hAnsi="Lato"/>
          <w:color w:val="002060"/>
          <w:sz w:val="20"/>
          <w:szCs w:val="20"/>
        </w:rPr>
        <w:t xml:space="preserve">FC ensure that confidentiality of safeguarding cases is maintained. Everyone is told to report safeguarding concerns, however small. </w:t>
      </w:r>
    </w:p>
    <w:p w14:paraId="1F46195A" w14:textId="77777777" w:rsidR="00C65694" w:rsidRPr="00070D11" w:rsidRDefault="001405BA">
      <w:pPr>
        <w:rPr>
          <w:rFonts w:ascii="Lato" w:hAnsi="Lato"/>
          <w:color w:val="002060"/>
          <w:sz w:val="20"/>
          <w:szCs w:val="20"/>
        </w:rPr>
      </w:pPr>
      <w:r w:rsidRPr="00070D11">
        <w:rPr>
          <w:rFonts w:ascii="Lato" w:hAnsi="Lato"/>
          <w:color w:val="002060"/>
          <w:sz w:val="20"/>
          <w:szCs w:val="20"/>
        </w:rPr>
        <w:t xml:space="preserve">The secure safeguarding reporting and case management system ‘My Concern’ is used by </w:t>
      </w:r>
      <w:r w:rsidR="00DF5513" w:rsidRPr="00070D11">
        <w:rPr>
          <w:rFonts w:ascii="Lato" w:hAnsi="Lato"/>
          <w:color w:val="002060"/>
          <w:sz w:val="20"/>
          <w:szCs w:val="20"/>
        </w:rPr>
        <w:t>G</w:t>
      </w:r>
      <w:r w:rsidRPr="00070D11">
        <w:rPr>
          <w:rFonts w:ascii="Lato" w:hAnsi="Lato"/>
          <w:color w:val="002060"/>
          <w:sz w:val="20"/>
          <w:szCs w:val="20"/>
        </w:rPr>
        <w:t>FC for reporting</w:t>
      </w:r>
      <w:r w:rsidR="00C65694" w:rsidRPr="00070D11">
        <w:rPr>
          <w:rFonts w:ascii="Lato" w:hAnsi="Lato"/>
          <w:color w:val="002060"/>
          <w:sz w:val="20"/>
          <w:szCs w:val="20"/>
        </w:rPr>
        <w:t xml:space="preserve"> </w:t>
      </w:r>
      <w:r w:rsidRPr="00070D11">
        <w:rPr>
          <w:rFonts w:ascii="Lato" w:hAnsi="Lato"/>
          <w:color w:val="002060"/>
          <w:sz w:val="20"/>
          <w:szCs w:val="20"/>
        </w:rPr>
        <w:t xml:space="preserve">safeguarding concerns. </w:t>
      </w:r>
    </w:p>
    <w:p w14:paraId="4BD3BF0E" w14:textId="77777777" w:rsidR="00C65694" w:rsidRPr="00070D11" w:rsidRDefault="001405BA">
      <w:pPr>
        <w:rPr>
          <w:rFonts w:ascii="Lato" w:hAnsi="Lato"/>
          <w:color w:val="002060"/>
          <w:sz w:val="20"/>
          <w:szCs w:val="20"/>
        </w:rPr>
      </w:pPr>
      <w:r w:rsidRPr="00070D11">
        <w:rPr>
          <w:rFonts w:ascii="Lato" w:hAnsi="Lato"/>
          <w:color w:val="002060"/>
          <w:sz w:val="20"/>
          <w:szCs w:val="20"/>
        </w:rPr>
        <w:t xml:space="preserve">Only the DSO and essential people involved will be aware, on a need-to-know basis. Statutory information sharing protocols will be followed where necessary including the FA safeguarding case management, the EFL safeguarding team, the local authority and the police. </w:t>
      </w:r>
    </w:p>
    <w:p w14:paraId="03BD4E92" w14:textId="77777777" w:rsidR="00C65694" w:rsidRPr="00070D11" w:rsidRDefault="001405BA">
      <w:pPr>
        <w:rPr>
          <w:rFonts w:ascii="Lato" w:hAnsi="Lato"/>
          <w:color w:val="002060"/>
          <w:sz w:val="20"/>
          <w:szCs w:val="20"/>
        </w:rPr>
      </w:pPr>
      <w:r w:rsidRPr="00070D11">
        <w:rPr>
          <w:rFonts w:ascii="Lato" w:hAnsi="Lato"/>
          <w:color w:val="002060"/>
          <w:sz w:val="20"/>
          <w:szCs w:val="20"/>
        </w:rPr>
        <w:t xml:space="preserve">A child centred approach to safeguarding is at the centre of the </w:t>
      </w:r>
      <w:r w:rsidR="00DF5513" w:rsidRPr="00070D11">
        <w:rPr>
          <w:rFonts w:ascii="Lato" w:hAnsi="Lato"/>
          <w:color w:val="002060"/>
          <w:sz w:val="20"/>
          <w:szCs w:val="20"/>
        </w:rPr>
        <w:t>G</w:t>
      </w:r>
      <w:r w:rsidRPr="00070D11">
        <w:rPr>
          <w:rFonts w:ascii="Lato" w:hAnsi="Lato"/>
          <w:color w:val="002060"/>
          <w:sz w:val="20"/>
          <w:szCs w:val="20"/>
        </w:rPr>
        <w:t xml:space="preserve">FC ethos. Wherever possible the young or vulnerable person will be involved in every aspect of managing the concern. If a person is at immediate risk of harm or about to become the victim of a crime, the police must be informed via 999. </w:t>
      </w:r>
    </w:p>
    <w:p w14:paraId="48B6F724" w14:textId="77777777" w:rsidR="00C83C53" w:rsidRPr="00070D11" w:rsidRDefault="001405BA">
      <w:pPr>
        <w:rPr>
          <w:rFonts w:ascii="Lato" w:hAnsi="Lato"/>
          <w:color w:val="002060"/>
          <w:sz w:val="20"/>
          <w:szCs w:val="20"/>
        </w:rPr>
      </w:pPr>
      <w:r w:rsidRPr="00070D11">
        <w:rPr>
          <w:rFonts w:ascii="Lato" w:hAnsi="Lato"/>
          <w:color w:val="002060"/>
          <w:sz w:val="20"/>
          <w:szCs w:val="20"/>
        </w:rPr>
        <w:t xml:space="preserve">Referral for any issue concerning potential radicalisation to extremism should be managed as any other safeguarding referral. Allegations made against an employee or anyone engaged by </w:t>
      </w:r>
      <w:r w:rsidR="00DF5513" w:rsidRPr="00070D11">
        <w:rPr>
          <w:rFonts w:ascii="Lato" w:hAnsi="Lato"/>
          <w:color w:val="002060"/>
          <w:sz w:val="20"/>
          <w:szCs w:val="20"/>
        </w:rPr>
        <w:t>G</w:t>
      </w:r>
      <w:r w:rsidRPr="00070D11">
        <w:rPr>
          <w:rFonts w:ascii="Lato" w:hAnsi="Lato"/>
          <w:color w:val="002060"/>
          <w:sz w:val="20"/>
          <w:szCs w:val="20"/>
        </w:rPr>
        <w:t>FC</w:t>
      </w:r>
      <w:r w:rsidR="00DF5513" w:rsidRPr="00070D11">
        <w:rPr>
          <w:rFonts w:ascii="Lato" w:hAnsi="Lato"/>
          <w:color w:val="002060"/>
          <w:sz w:val="20"/>
          <w:szCs w:val="20"/>
        </w:rPr>
        <w:t>. G</w:t>
      </w:r>
      <w:r w:rsidRPr="00070D11">
        <w:rPr>
          <w:rFonts w:ascii="Lato" w:hAnsi="Lato"/>
          <w:color w:val="002060"/>
          <w:sz w:val="20"/>
          <w:szCs w:val="20"/>
        </w:rPr>
        <w:t xml:space="preserve">FC operate in an open and transparent manner. Any concerns relating to a member of staff or volunteer, should be recorded via the ‘My Concern’ App and the DSO informed. </w:t>
      </w:r>
      <w:r w:rsidR="00DF5513" w:rsidRPr="00070D11">
        <w:rPr>
          <w:rFonts w:ascii="Lato" w:hAnsi="Lato"/>
          <w:color w:val="002060"/>
          <w:sz w:val="20"/>
          <w:szCs w:val="20"/>
        </w:rPr>
        <w:t>G</w:t>
      </w:r>
      <w:r w:rsidRPr="00070D11">
        <w:rPr>
          <w:rFonts w:ascii="Lato" w:hAnsi="Lato"/>
          <w:color w:val="002060"/>
          <w:sz w:val="20"/>
          <w:szCs w:val="20"/>
        </w:rPr>
        <w:t xml:space="preserve">FC record all allegations and follow Low Level Concerns principles. </w:t>
      </w:r>
    </w:p>
    <w:p w14:paraId="1C7D2D3C" w14:textId="77777777" w:rsidR="00C83C53" w:rsidRPr="00070D11" w:rsidRDefault="001405BA">
      <w:pPr>
        <w:rPr>
          <w:rFonts w:ascii="Lato" w:hAnsi="Lato"/>
          <w:color w:val="002060"/>
          <w:sz w:val="20"/>
          <w:szCs w:val="20"/>
        </w:rPr>
      </w:pPr>
      <w:r w:rsidRPr="00070D11">
        <w:rPr>
          <w:rFonts w:ascii="Lato" w:hAnsi="Lato"/>
          <w:color w:val="002060"/>
          <w:sz w:val="20"/>
          <w:szCs w:val="20"/>
        </w:rPr>
        <w:t xml:space="preserve">Where necessary </w:t>
      </w:r>
      <w:r w:rsidR="00DF5513" w:rsidRPr="00070D11">
        <w:rPr>
          <w:rFonts w:ascii="Lato" w:hAnsi="Lato"/>
          <w:color w:val="002060"/>
          <w:sz w:val="20"/>
          <w:szCs w:val="20"/>
        </w:rPr>
        <w:t>G</w:t>
      </w:r>
      <w:r w:rsidRPr="00070D11">
        <w:rPr>
          <w:rFonts w:ascii="Lato" w:hAnsi="Lato"/>
          <w:color w:val="002060"/>
          <w:sz w:val="20"/>
          <w:szCs w:val="20"/>
        </w:rPr>
        <w:t xml:space="preserve">FC will work in partnership with the Local Authority Designated Officer (LADO), the FA Safeguarding Case Management Team and EFL Safeguarding Team. </w:t>
      </w:r>
      <w:r w:rsidR="00DF5513" w:rsidRPr="00070D11">
        <w:rPr>
          <w:rFonts w:ascii="Lato" w:hAnsi="Lato"/>
          <w:color w:val="002060"/>
          <w:sz w:val="20"/>
          <w:szCs w:val="20"/>
        </w:rPr>
        <w:t>G</w:t>
      </w:r>
      <w:r w:rsidRPr="00070D11">
        <w:rPr>
          <w:rFonts w:ascii="Lato" w:hAnsi="Lato"/>
          <w:color w:val="002060"/>
          <w:sz w:val="20"/>
          <w:szCs w:val="20"/>
        </w:rPr>
        <w:t xml:space="preserve">FC have a whistleblowing policy. </w:t>
      </w:r>
    </w:p>
    <w:p w14:paraId="05E26F8E" w14:textId="77777777" w:rsidR="00C83C53" w:rsidRPr="00070D11" w:rsidRDefault="001405BA">
      <w:pPr>
        <w:rPr>
          <w:rFonts w:ascii="Lato" w:hAnsi="Lato"/>
          <w:color w:val="002060"/>
          <w:sz w:val="20"/>
          <w:szCs w:val="20"/>
        </w:rPr>
      </w:pPr>
      <w:r w:rsidRPr="00070D11">
        <w:rPr>
          <w:rFonts w:ascii="Lato" w:hAnsi="Lato"/>
          <w:color w:val="002060"/>
          <w:sz w:val="20"/>
          <w:szCs w:val="20"/>
        </w:rPr>
        <w:t xml:space="preserve">Roles and Responsibilities </w:t>
      </w:r>
    </w:p>
    <w:p w14:paraId="1BAAE167" w14:textId="475D47A3" w:rsidR="00C83C53" w:rsidRDefault="00FB670E">
      <w:pPr>
        <w:rPr>
          <w:rFonts w:ascii="Lato" w:hAnsi="Lato"/>
          <w:color w:val="002060"/>
          <w:sz w:val="20"/>
          <w:szCs w:val="20"/>
        </w:rPr>
      </w:pPr>
      <w:r w:rsidRPr="00070D11">
        <w:rPr>
          <w:rFonts w:ascii="Lato" w:hAnsi="Lato"/>
          <w:color w:val="002060"/>
          <w:sz w:val="20"/>
          <w:szCs w:val="20"/>
        </w:rPr>
        <w:t xml:space="preserve">Shannon </w:t>
      </w:r>
      <w:r w:rsidR="00C26CA9" w:rsidRPr="00070D11">
        <w:rPr>
          <w:rFonts w:ascii="Lato" w:hAnsi="Lato"/>
          <w:color w:val="002060"/>
          <w:sz w:val="20"/>
          <w:szCs w:val="20"/>
        </w:rPr>
        <w:t>Galinson</w:t>
      </w:r>
      <w:r w:rsidR="001405BA" w:rsidRPr="00070D11">
        <w:rPr>
          <w:rFonts w:ascii="Lato" w:hAnsi="Lato"/>
          <w:color w:val="002060"/>
          <w:sz w:val="20"/>
          <w:szCs w:val="20"/>
        </w:rPr>
        <w:t xml:space="preserve"> –</w:t>
      </w:r>
      <w:r w:rsidRPr="00070D11">
        <w:rPr>
          <w:rFonts w:ascii="Lato" w:hAnsi="Lato"/>
          <w:color w:val="002060"/>
          <w:sz w:val="20"/>
          <w:szCs w:val="20"/>
        </w:rPr>
        <w:t>Safeguarding Board Level Champion</w:t>
      </w:r>
    </w:p>
    <w:p w14:paraId="5D9502B9" w14:textId="60EE3B51" w:rsidR="00786BB2" w:rsidRPr="00070D11" w:rsidRDefault="00C87CBE">
      <w:pPr>
        <w:rPr>
          <w:rFonts w:ascii="Lato" w:hAnsi="Lato"/>
          <w:color w:val="002060"/>
          <w:sz w:val="20"/>
          <w:szCs w:val="20"/>
        </w:rPr>
      </w:pPr>
      <w:r>
        <w:rPr>
          <w:rFonts w:ascii="Lato" w:hAnsi="Lato"/>
          <w:color w:val="002060"/>
          <w:sz w:val="20"/>
          <w:szCs w:val="20"/>
        </w:rPr>
        <w:t>Peter Lloyf</w:t>
      </w:r>
      <w:r w:rsidR="00786BB2">
        <w:rPr>
          <w:rFonts w:ascii="Lato" w:hAnsi="Lato"/>
          <w:color w:val="002060"/>
          <w:sz w:val="20"/>
          <w:szCs w:val="20"/>
        </w:rPr>
        <w:t xml:space="preserve"> – Senior Safeguarding Officer</w:t>
      </w:r>
    </w:p>
    <w:p w14:paraId="2EF0A454" w14:textId="201CA854" w:rsidR="000132FB" w:rsidRPr="00070D11" w:rsidRDefault="00FB670E">
      <w:pPr>
        <w:rPr>
          <w:rFonts w:ascii="Lato" w:hAnsi="Lato"/>
          <w:color w:val="002060"/>
          <w:sz w:val="20"/>
          <w:szCs w:val="20"/>
        </w:rPr>
      </w:pPr>
      <w:r w:rsidRPr="00070D11">
        <w:rPr>
          <w:rFonts w:ascii="Lato" w:hAnsi="Lato"/>
          <w:color w:val="002060"/>
          <w:sz w:val="20"/>
          <w:szCs w:val="20"/>
        </w:rPr>
        <w:t>Asif Rasheed</w:t>
      </w:r>
      <w:r w:rsidR="001405BA" w:rsidRPr="00070D11">
        <w:rPr>
          <w:rFonts w:ascii="Lato" w:hAnsi="Lato"/>
          <w:color w:val="002060"/>
          <w:sz w:val="20"/>
          <w:szCs w:val="20"/>
        </w:rPr>
        <w:t xml:space="preserve"> – Designated Safeguarding Officer (DSO) Prevent Lead </w:t>
      </w:r>
    </w:p>
    <w:p w14:paraId="1523209A" w14:textId="0119BB08" w:rsidR="000132FB" w:rsidRPr="00070D11" w:rsidRDefault="00FB670E">
      <w:pPr>
        <w:rPr>
          <w:rFonts w:ascii="Lato" w:hAnsi="Lato"/>
          <w:color w:val="002060"/>
          <w:sz w:val="20"/>
          <w:szCs w:val="20"/>
        </w:rPr>
      </w:pPr>
      <w:r w:rsidRPr="00070D11">
        <w:rPr>
          <w:rFonts w:ascii="Lato" w:hAnsi="Lato"/>
          <w:color w:val="002060"/>
          <w:sz w:val="20"/>
          <w:szCs w:val="20"/>
        </w:rPr>
        <w:t>Nick Farrell</w:t>
      </w:r>
      <w:r w:rsidR="001405BA" w:rsidRPr="00070D11">
        <w:rPr>
          <w:rFonts w:ascii="Lato" w:hAnsi="Lato"/>
          <w:color w:val="002060"/>
          <w:sz w:val="20"/>
          <w:szCs w:val="20"/>
        </w:rPr>
        <w:t xml:space="preserve"> – </w:t>
      </w:r>
      <w:r w:rsidRPr="00070D11">
        <w:rPr>
          <w:rFonts w:ascii="Lato" w:hAnsi="Lato"/>
          <w:color w:val="002060"/>
          <w:sz w:val="20"/>
          <w:szCs w:val="20"/>
        </w:rPr>
        <w:t>Player Care Manager</w:t>
      </w:r>
      <w:r w:rsidR="001405BA" w:rsidRPr="00070D11">
        <w:rPr>
          <w:rFonts w:ascii="Lato" w:hAnsi="Lato"/>
          <w:color w:val="002060"/>
          <w:sz w:val="20"/>
          <w:szCs w:val="20"/>
        </w:rPr>
        <w:t xml:space="preserve"> </w:t>
      </w:r>
    </w:p>
    <w:p w14:paraId="301F11C9" w14:textId="18F336FB" w:rsidR="000132FB" w:rsidRPr="00070D11" w:rsidRDefault="00FB670E">
      <w:pPr>
        <w:rPr>
          <w:rFonts w:ascii="Lato" w:hAnsi="Lato"/>
          <w:color w:val="002060"/>
          <w:sz w:val="20"/>
          <w:szCs w:val="20"/>
        </w:rPr>
      </w:pPr>
      <w:r w:rsidRPr="00070D11">
        <w:rPr>
          <w:rFonts w:ascii="Lato" w:hAnsi="Lato"/>
          <w:color w:val="002060"/>
          <w:sz w:val="20"/>
          <w:szCs w:val="20"/>
        </w:rPr>
        <w:t>Ben Reeves</w:t>
      </w:r>
      <w:r w:rsidR="001405BA" w:rsidRPr="00070D11">
        <w:rPr>
          <w:rFonts w:ascii="Lato" w:hAnsi="Lato"/>
          <w:color w:val="002060"/>
          <w:sz w:val="20"/>
          <w:szCs w:val="20"/>
        </w:rPr>
        <w:t xml:space="preserve"> – Supporter </w:t>
      </w:r>
      <w:r w:rsidRPr="00070D11">
        <w:rPr>
          <w:rFonts w:ascii="Lato" w:hAnsi="Lato"/>
          <w:color w:val="002060"/>
          <w:sz w:val="20"/>
          <w:szCs w:val="20"/>
        </w:rPr>
        <w:t>Liaison Officer</w:t>
      </w:r>
      <w:r w:rsidR="001405BA" w:rsidRPr="00070D11">
        <w:rPr>
          <w:rFonts w:ascii="Lato" w:hAnsi="Lato"/>
          <w:color w:val="002060"/>
          <w:sz w:val="20"/>
          <w:szCs w:val="20"/>
        </w:rPr>
        <w:t xml:space="preserve"> and Disability Liaison Officer </w:t>
      </w:r>
    </w:p>
    <w:p w14:paraId="671778EC" w14:textId="54B8DDF2" w:rsidR="00FB670E" w:rsidRPr="00070D11" w:rsidRDefault="00FB670E">
      <w:pPr>
        <w:rPr>
          <w:rFonts w:ascii="Lato" w:hAnsi="Lato"/>
          <w:color w:val="002060"/>
          <w:sz w:val="20"/>
          <w:szCs w:val="20"/>
        </w:rPr>
      </w:pPr>
      <w:r w:rsidRPr="00070D11">
        <w:rPr>
          <w:rFonts w:ascii="Lato" w:hAnsi="Lato"/>
          <w:color w:val="002060"/>
          <w:sz w:val="20"/>
          <w:szCs w:val="20"/>
        </w:rPr>
        <w:t>Gary Newman – Stadium Safety Officer</w:t>
      </w:r>
    </w:p>
    <w:p w14:paraId="3D74E9AB" w14:textId="77777777" w:rsidR="000132FB" w:rsidRPr="00070D11" w:rsidRDefault="001405BA">
      <w:pPr>
        <w:rPr>
          <w:rFonts w:ascii="Lato" w:hAnsi="Lato"/>
          <w:color w:val="002060"/>
          <w:sz w:val="20"/>
          <w:szCs w:val="20"/>
        </w:rPr>
      </w:pPr>
      <w:r w:rsidRPr="00070D11">
        <w:rPr>
          <w:rFonts w:ascii="Lato" w:hAnsi="Lato"/>
          <w:color w:val="002060"/>
          <w:sz w:val="20"/>
          <w:szCs w:val="20"/>
        </w:rPr>
        <w:t xml:space="preserve">Principles of this ‘Easy Read’ policy </w:t>
      </w:r>
    </w:p>
    <w:p w14:paraId="2A533E94" w14:textId="28064621" w:rsidR="00694A5F" w:rsidRPr="00070D11" w:rsidRDefault="001405BA">
      <w:pPr>
        <w:rPr>
          <w:rFonts w:ascii="Lato" w:hAnsi="Lato"/>
          <w:color w:val="002060"/>
          <w:sz w:val="20"/>
          <w:szCs w:val="20"/>
        </w:rPr>
      </w:pPr>
      <w:r w:rsidRPr="00070D11">
        <w:rPr>
          <w:rFonts w:ascii="Lato" w:hAnsi="Lato"/>
          <w:color w:val="002060"/>
          <w:sz w:val="20"/>
          <w:szCs w:val="20"/>
        </w:rPr>
        <w:t xml:space="preserve">The main safeguarding policies will provide the operational framework for all </w:t>
      </w:r>
      <w:r w:rsidR="00FB670E" w:rsidRPr="00070D11">
        <w:rPr>
          <w:rFonts w:ascii="Lato" w:hAnsi="Lato"/>
          <w:color w:val="002060"/>
          <w:sz w:val="20"/>
          <w:szCs w:val="20"/>
        </w:rPr>
        <w:t>G</w:t>
      </w:r>
      <w:r w:rsidRPr="00070D11">
        <w:rPr>
          <w:rFonts w:ascii="Lato" w:hAnsi="Lato"/>
          <w:color w:val="002060"/>
          <w:sz w:val="20"/>
          <w:szCs w:val="20"/>
        </w:rPr>
        <w:t xml:space="preserve">FC staff to work within and ensure the young and vulnerable are kept safe in accordance with government and football governing body guidance. This policy is a summary of that information. </w:t>
      </w:r>
    </w:p>
    <w:p w14:paraId="34B0468C" w14:textId="77777777" w:rsidR="00950B61" w:rsidRPr="00070D11" w:rsidRDefault="00694A5F">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safeguard all children, young people and adults at risk who interact with us. We take all safeguarding concerns seriously and respond efficiently and appropriately. A child centred approach is fundamental. </w:t>
      </w:r>
      <w:r w:rsidRPr="00070D11">
        <w:rPr>
          <w:rFonts w:ascii="Lato" w:hAnsi="Lato"/>
          <w:color w:val="002060"/>
          <w:sz w:val="20"/>
          <w:szCs w:val="20"/>
        </w:rPr>
        <w:t>G</w:t>
      </w:r>
      <w:r w:rsidR="001405BA" w:rsidRPr="00070D11">
        <w:rPr>
          <w:rFonts w:ascii="Lato" w:hAnsi="Lato"/>
          <w:color w:val="002060"/>
          <w:sz w:val="20"/>
          <w:szCs w:val="20"/>
        </w:rPr>
        <w:t xml:space="preserve">FC follow the guidelines as set by the government, working in partnership with the local authority and the police. </w:t>
      </w:r>
    </w:p>
    <w:p w14:paraId="3424AB0F" w14:textId="77777777" w:rsidR="00950B61" w:rsidRPr="00070D11" w:rsidRDefault="00950B61">
      <w:pPr>
        <w:rPr>
          <w:rFonts w:ascii="Lato" w:hAnsi="Lato"/>
          <w:color w:val="002060"/>
          <w:sz w:val="20"/>
          <w:szCs w:val="20"/>
        </w:rPr>
      </w:pPr>
    </w:p>
    <w:p w14:paraId="445EEB8C" w14:textId="77777777" w:rsidR="00950B61" w:rsidRPr="00070D11" w:rsidRDefault="00950B61">
      <w:pPr>
        <w:rPr>
          <w:rFonts w:ascii="Lato" w:hAnsi="Lato"/>
          <w:color w:val="002060"/>
          <w:sz w:val="20"/>
          <w:szCs w:val="20"/>
        </w:rPr>
      </w:pPr>
    </w:p>
    <w:p w14:paraId="13A163AF" w14:textId="77777777" w:rsidR="00950B61" w:rsidRPr="00070D11" w:rsidRDefault="00950B61">
      <w:pPr>
        <w:rPr>
          <w:rFonts w:ascii="Lato" w:hAnsi="Lato"/>
          <w:color w:val="002060"/>
          <w:sz w:val="20"/>
          <w:szCs w:val="20"/>
        </w:rPr>
      </w:pPr>
    </w:p>
    <w:p w14:paraId="2E1182AB" w14:textId="77777777" w:rsidR="00950B61" w:rsidRPr="00070D11" w:rsidRDefault="00950B61">
      <w:pPr>
        <w:rPr>
          <w:rFonts w:ascii="Lato" w:hAnsi="Lato"/>
          <w:color w:val="002060"/>
          <w:sz w:val="20"/>
          <w:szCs w:val="20"/>
        </w:rPr>
      </w:pPr>
    </w:p>
    <w:p w14:paraId="448479EB" w14:textId="77777777" w:rsidR="00950B61" w:rsidRPr="00070D11" w:rsidRDefault="00950B61">
      <w:pPr>
        <w:rPr>
          <w:rFonts w:ascii="Lato" w:hAnsi="Lato"/>
          <w:color w:val="002060"/>
          <w:sz w:val="20"/>
          <w:szCs w:val="20"/>
        </w:rPr>
      </w:pPr>
    </w:p>
    <w:p w14:paraId="7F9F8951" w14:textId="77777777" w:rsidR="00950B61" w:rsidRPr="00070D11" w:rsidRDefault="00950B61">
      <w:pPr>
        <w:rPr>
          <w:rFonts w:ascii="Lato" w:hAnsi="Lato"/>
          <w:color w:val="002060"/>
          <w:sz w:val="20"/>
          <w:szCs w:val="20"/>
        </w:rPr>
      </w:pPr>
    </w:p>
    <w:p w14:paraId="641960A0" w14:textId="77777777" w:rsidR="00950B61" w:rsidRPr="00070D11" w:rsidRDefault="00950B61">
      <w:pPr>
        <w:rPr>
          <w:rFonts w:ascii="Lato" w:hAnsi="Lato"/>
          <w:color w:val="002060"/>
          <w:sz w:val="20"/>
          <w:szCs w:val="20"/>
        </w:rPr>
      </w:pPr>
    </w:p>
    <w:p w14:paraId="67DE00C8" w14:textId="77777777" w:rsidR="00950B61" w:rsidRPr="00070D11" w:rsidRDefault="00950B61">
      <w:pPr>
        <w:rPr>
          <w:rFonts w:ascii="Lato" w:hAnsi="Lato"/>
          <w:color w:val="002060"/>
          <w:sz w:val="20"/>
          <w:szCs w:val="20"/>
        </w:rPr>
      </w:pPr>
    </w:p>
    <w:p w14:paraId="177A397D" w14:textId="3C9CD682" w:rsidR="00694A5F" w:rsidRPr="00070D11" w:rsidRDefault="00694A5F">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provide a safeguarding framework to promote best practice, demonstrate the right standards of behaviour in all interactions with the young and vulnerable. All people are treated equitably and fairly in line with our Equality and Diversity Policy. </w:t>
      </w:r>
    </w:p>
    <w:p w14:paraId="5E8605FD" w14:textId="77777777" w:rsidR="00694A5F" w:rsidRPr="00070D11" w:rsidRDefault="00694A5F">
      <w:pPr>
        <w:rPr>
          <w:rFonts w:ascii="Lato" w:hAnsi="Lato"/>
          <w:color w:val="002060"/>
          <w:sz w:val="20"/>
          <w:szCs w:val="20"/>
        </w:rPr>
      </w:pPr>
    </w:p>
    <w:p w14:paraId="7DFD4A10" w14:textId="2E6856CB" w:rsidR="00F85040" w:rsidRPr="00070D11" w:rsidRDefault="00694A5F">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provide a safe environment for our young and vulnerable people in accordance with the law and regulatory guidance. For further information regarding the content of this policy, please refer to the website published policies: Safeguarding </w:t>
      </w:r>
      <w:r w:rsidR="00075CE2" w:rsidRPr="00070D11">
        <w:rPr>
          <w:rFonts w:ascii="Lato" w:hAnsi="Lato"/>
          <w:color w:val="002060"/>
          <w:sz w:val="20"/>
          <w:szCs w:val="20"/>
        </w:rPr>
        <w:t>Gillingham FC</w:t>
      </w:r>
      <w:r w:rsidR="001405BA" w:rsidRPr="00070D11">
        <w:rPr>
          <w:rFonts w:ascii="Lato" w:hAnsi="Lato"/>
          <w:color w:val="002060"/>
          <w:sz w:val="20"/>
          <w:szCs w:val="20"/>
        </w:rPr>
        <w:t xml:space="preserve"> - </w:t>
      </w:r>
      <w:r w:rsidR="00075CE2" w:rsidRPr="00070D11">
        <w:rPr>
          <w:rFonts w:ascii="Lato" w:hAnsi="Lato"/>
          <w:color w:val="002060"/>
          <w:sz w:val="20"/>
          <w:szCs w:val="20"/>
        </w:rPr>
        <w:t>G</w:t>
      </w:r>
      <w:r w:rsidR="001405BA" w:rsidRPr="00070D11">
        <w:rPr>
          <w:rFonts w:ascii="Lato" w:hAnsi="Lato"/>
          <w:color w:val="002060"/>
          <w:sz w:val="20"/>
          <w:szCs w:val="20"/>
        </w:rPr>
        <w:t xml:space="preserve">FC or contact the DSO: </w:t>
      </w:r>
      <w:hyperlink r:id="rId7" w:history="1">
        <w:r w:rsidR="00F85040" w:rsidRPr="00070D11">
          <w:rPr>
            <w:rStyle w:val="Hyperlink"/>
            <w:rFonts w:ascii="Lato" w:hAnsi="Lato"/>
            <w:color w:val="002060"/>
            <w:sz w:val="20"/>
            <w:szCs w:val="20"/>
          </w:rPr>
          <w:t>safeguarding@priestfield.com</w:t>
        </w:r>
      </w:hyperlink>
    </w:p>
    <w:p w14:paraId="235206D0" w14:textId="77777777" w:rsidR="00F85040" w:rsidRPr="00070D11" w:rsidRDefault="001405BA">
      <w:pPr>
        <w:rPr>
          <w:rFonts w:ascii="Lato" w:hAnsi="Lato"/>
          <w:color w:val="002060"/>
          <w:sz w:val="20"/>
          <w:szCs w:val="20"/>
        </w:rPr>
      </w:pPr>
      <w:r w:rsidRPr="00070D11">
        <w:rPr>
          <w:rFonts w:ascii="Lato" w:hAnsi="Lato"/>
          <w:color w:val="002060"/>
          <w:sz w:val="20"/>
          <w:szCs w:val="20"/>
        </w:rPr>
        <w:t xml:space="preserve"> Information Management </w:t>
      </w:r>
    </w:p>
    <w:p w14:paraId="26527FB3" w14:textId="77777777" w:rsidR="00F85040" w:rsidRPr="00070D11" w:rsidRDefault="00F85040">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will manage all safeguarding information and allegations in a transparent and open manner, in accordance with the relevant guidance from football governing bodies and external agencies, which includes the police when appropriate. </w:t>
      </w:r>
      <w:r w:rsidRPr="00070D11">
        <w:rPr>
          <w:rFonts w:ascii="Lato" w:hAnsi="Lato"/>
          <w:color w:val="002060"/>
          <w:sz w:val="20"/>
          <w:szCs w:val="20"/>
        </w:rPr>
        <w:t>G</w:t>
      </w:r>
      <w:r w:rsidR="001405BA" w:rsidRPr="00070D11">
        <w:rPr>
          <w:rFonts w:ascii="Lato" w:hAnsi="Lato"/>
          <w:color w:val="002060"/>
          <w:sz w:val="20"/>
          <w:szCs w:val="20"/>
        </w:rPr>
        <w:t xml:space="preserve">FC will information share with statutory agencies as required. </w:t>
      </w:r>
    </w:p>
    <w:p w14:paraId="1A18BB4D" w14:textId="77777777" w:rsidR="00F85040" w:rsidRPr="00070D11" w:rsidRDefault="00F85040">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have a risk register, for which safeguarding is included, this will reduce or negate risk and enable an ongoing evaluation process. All safeguarding incidents or concerns will be recorded confidentially through the ‘My Concern’ reporting and case management system. </w:t>
      </w:r>
    </w:p>
    <w:p w14:paraId="4FFE2EC0" w14:textId="77777777" w:rsidR="00F85040" w:rsidRPr="00070D11" w:rsidRDefault="001405BA">
      <w:pPr>
        <w:rPr>
          <w:rFonts w:ascii="Lato" w:hAnsi="Lato"/>
          <w:color w:val="002060"/>
          <w:sz w:val="20"/>
          <w:szCs w:val="20"/>
        </w:rPr>
      </w:pPr>
      <w:r w:rsidRPr="00070D11">
        <w:rPr>
          <w:rFonts w:ascii="Lato" w:hAnsi="Lato"/>
          <w:color w:val="002060"/>
          <w:sz w:val="20"/>
          <w:szCs w:val="20"/>
        </w:rPr>
        <w:t xml:space="preserve">Recruitment, Appointment and Training </w:t>
      </w:r>
    </w:p>
    <w:p w14:paraId="0E6CB014" w14:textId="77777777" w:rsidR="007565EB" w:rsidRPr="00070D11" w:rsidRDefault="00F85040">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operate a safer recruitment policy. At least two separate references acceptable to </w:t>
      </w:r>
      <w:r w:rsidRPr="00070D11">
        <w:rPr>
          <w:rFonts w:ascii="Lato" w:hAnsi="Lato"/>
          <w:color w:val="002060"/>
          <w:sz w:val="20"/>
          <w:szCs w:val="20"/>
        </w:rPr>
        <w:t>G</w:t>
      </w:r>
      <w:r w:rsidR="001405BA" w:rsidRPr="00070D11">
        <w:rPr>
          <w:rFonts w:ascii="Lato" w:hAnsi="Lato"/>
          <w:color w:val="002060"/>
          <w:sz w:val="20"/>
          <w:szCs w:val="20"/>
        </w:rPr>
        <w:t xml:space="preserve">FC will be required. </w:t>
      </w:r>
      <w:r w:rsidRPr="00070D11">
        <w:rPr>
          <w:rFonts w:ascii="Lato" w:hAnsi="Lato"/>
          <w:color w:val="002060"/>
          <w:sz w:val="20"/>
          <w:szCs w:val="20"/>
        </w:rPr>
        <w:t>G</w:t>
      </w:r>
      <w:r w:rsidR="001405BA" w:rsidRPr="00070D11">
        <w:rPr>
          <w:rFonts w:ascii="Lato" w:hAnsi="Lato"/>
          <w:color w:val="002060"/>
          <w:sz w:val="20"/>
          <w:szCs w:val="20"/>
        </w:rPr>
        <w:t xml:space="preserve">FC comply with the EFL guidance on who requires a Disclosure and Barring Service (DBS) check and the frequency of checks. </w:t>
      </w:r>
    </w:p>
    <w:p w14:paraId="16599B1F" w14:textId="77777777" w:rsidR="007565EB" w:rsidRPr="00070D11" w:rsidRDefault="001405BA">
      <w:pPr>
        <w:rPr>
          <w:rFonts w:ascii="Lato" w:hAnsi="Lato"/>
          <w:color w:val="002060"/>
          <w:sz w:val="20"/>
          <w:szCs w:val="20"/>
        </w:rPr>
      </w:pPr>
      <w:r w:rsidRPr="00070D11">
        <w:rPr>
          <w:rFonts w:ascii="Lato" w:hAnsi="Lato"/>
          <w:color w:val="002060"/>
          <w:sz w:val="20"/>
          <w:szCs w:val="20"/>
        </w:rPr>
        <w:t xml:space="preserve">Each employee must abide by a code of conduct and sign a self-declaration form regarding any change in circumstance. Safeguarding Awareness training forms part of the </w:t>
      </w:r>
      <w:r w:rsidR="007565EB" w:rsidRPr="00070D11">
        <w:rPr>
          <w:rFonts w:ascii="Lato" w:hAnsi="Lato"/>
          <w:color w:val="002060"/>
          <w:sz w:val="20"/>
          <w:szCs w:val="20"/>
        </w:rPr>
        <w:t>G</w:t>
      </w:r>
      <w:r w:rsidRPr="00070D11">
        <w:rPr>
          <w:rFonts w:ascii="Lato" w:hAnsi="Lato"/>
          <w:color w:val="002060"/>
          <w:sz w:val="20"/>
          <w:szCs w:val="20"/>
        </w:rPr>
        <w:t xml:space="preserve">FC induction process. </w:t>
      </w:r>
    </w:p>
    <w:p w14:paraId="5C91EC5B" w14:textId="77777777" w:rsidR="007565EB" w:rsidRPr="00070D11" w:rsidRDefault="001405BA">
      <w:pPr>
        <w:rPr>
          <w:rFonts w:ascii="Lato" w:hAnsi="Lato"/>
          <w:color w:val="002060"/>
          <w:sz w:val="20"/>
          <w:szCs w:val="20"/>
        </w:rPr>
      </w:pPr>
      <w:r w:rsidRPr="00070D11">
        <w:rPr>
          <w:rFonts w:ascii="Lato" w:hAnsi="Lato"/>
          <w:color w:val="002060"/>
          <w:sz w:val="20"/>
          <w:szCs w:val="20"/>
        </w:rPr>
        <w:t xml:space="preserve">Regular safeguarding refresher training is key to each staff member’s professional development. </w:t>
      </w:r>
    </w:p>
    <w:p w14:paraId="62FE5EF4" w14:textId="77777777" w:rsidR="007565EB" w:rsidRPr="00070D11" w:rsidRDefault="001405BA">
      <w:pPr>
        <w:rPr>
          <w:rFonts w:ascii="Lato" w:hAnsi="Lato"/>
          <w:color w:val="002060"/>
          <w:sz w:val="20"/>
          <w:szCs w:val="20"/>
        </w:rPr>
      </w:pPr>
      <w:r w:rsidRPr="00070D11">
        <w:rPr>
          <w:rFonts w:ascii="Lato" w:hAnsi="Lato"/>
          <w:color w:val="002060"/>
          <w:sz w:val="20"/>
          <w:szCs w:val="20"/>
        </w:rPr>
        <w:t xml:space="preserve">Radicalism and Extremism </w:t>
      </w:r>
    </w:p>
    <w:p w14:paraId="3A497354" w14:textId="77777777" w:rsidR="004324DE" w:rsidRPr="00070D11" w:rsidRDefault="001405BA">
      <w:pPr>
        <w:rPr>
          <w:rFonts w:ascii="Lato" w:hAnsi="Lato"/>
          <w:color w:val="002060"/>
          <w:sz w:val="20"/>
          <w:szCs w:val="20"/>
        </w:rPr>
      </w:pPr>
      <w:r w:rsidRPr="00070D11">
        <w:rPr>
          <w:rFonts w:ascii="Lato" w:hAnsi="Lato"/>
          <w:color w:val="002060"/>
          <w:sz w:val="20"/>
          <w:szCs w:val="20"/>
        </w:rPr>
        <w:t xml:space="preserve">Radicalisation and exposing vulnerable and young people to extreme behaviours is a form of emotional abuse and is a safeguarding risk. </w:t>
      </w:r>
    </w:p>
    <w:p w14:paraId="4C8627F3" w14:textId="77777777" w:rsidR="004324DE" w:rsidRPr="00070D11" w:rsidRDefault="004324DE">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will monitor and manage these in accordance with its established processes in the event a concern is raised. Radicalisation can take place through direct personal contact, or indirectly either online or through social media. Extremism is defined as vocal or active opposition to fundamental British values including democracy, the rule of law, individual liberty and mutual respect and tolerance of different faiths and beliefs. </w:t>
      </w:r>
    </w:p>
    <w:p w14:paraId="6C4B7E83" w14:textId="77777777" w:rsidR="005546DF" w:rsidRPr="00070D11" w:rsidRDefault="004324DE">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work in partnership with the police and local partnerships and support the government Prevent Strategy, in order to support the most vulnerable in our community who are at risk of radicalisation. </w:t>
      </w:r>
      <w:r w:rsidR="005546DF" w:rsidRPr="00070D11">
        <w:rPr>
          <w:rFonts w:ascii="Lato" w:hAnsi="Lato"/>
          <w:color w:val="002060"/>
          <w:sz w:val="20"/>
          <w:szCs w:val="20"/>
        </w:rPr>
        <w:t>G</w:t>
      </w:r>
      <w:r w:rsidR="001405BA" w:rsidRPr="00070D11">
        <w:rPr>
          <w:rFonts w:ascii="Lato" w:hAnsi="Lato"/>
          <w:color w:val="002060"/>
          <w:sz w:val="20"/>
          <w:szCs w:val="20"/>
        </w:rPr>
        <w:t xml:space="preserve">FC have a Prevent policy which is published on the website. </w:t>
      </w:r>
    </w:p>
    <w:p w14:paraId="5DFFD59F" w14:textId="77777777" w:rsidR="005546DF" w:rsidRPr="00070D11" w:rsidRDefault="005546DF">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activities Safeguarding the young and vulnerable is embedded across all </w:t>
      </w:r>
      <w:r w:rsidRPr="00070D11">
        <w:rPr>
          <w:rFonts w:ascii="Lato" w:hAnsi="Lato"/>
          <w:color w:val="002060"/>
          <w:sz w:val="20"/>
          <w:szCs w:val="20"/>
        </w:rPr>
        <w:t>G</w:t>
      </w:r>
      <w:r w:rsidR="001405BA" w:rsidRPr="00070D11">
        <w:rPr>
          <w:rFonts w:ascii="Lato" w:hAnsi="Lato"/>
          <w:color w:val="002060"/>
          <w:sz w:val="20"/>
          <w:szCs w:val="20"/>
        </w:rPr>
        <w:t xml:space="preserve">FC activities, whether at </w:t>
      </w:r>
      <w:r w:rsidRPr="00070D11">
        <w:rPr>
          <w:rFonts w:ascii="Lato" w:hAnsi="Lato"/>
          <w:color w:val="002060"/>
          <w:sz w:val="20"/>
          <w:szCs w:val="20"/>
        </w:rPr>
        <w:t>Priestfield Stadium</w:t>
      </w:r>
      <w:r w:rsidR="001405BA" w:rsidRPr="00070D11">
        <w:rPr>
          <w:rFonts w:ascii="Lato" w:hAnsi="Lato"/>
          <w:color w:val="002060"/>
          <w:sz w:val="20"/>
          <w:szCs w:val="20"/>
        </w:rPr>
        <w:t xml:space="preserve"> or any location where staff are working. </w:t>
      </w:r>
    </w:p>
    <w:p w14:paraId="619F73E6" w14:textId="77777777" w:rsidR="00FE3325" w:rsidRPr="00070D11" w:rsidRDefault="001405BA">
      <w:pPr>
        <w:rPr>
          <w:rFonts w:ascii="Lato" w:hAnsi="Lato"/>
          <w:color w:val="002060"/>
          <w:sz w:val="20"/>
          <w:szCs w:val="20"/>
        </w:rPr>
      </w:pPr>
      <w:r w:rsidRPr="00070D11">
        <w:rPr>
          <w:rFonts w:ascii="Lato" w:hAnsi="Lato"/>
          <w:color w:val="002060"/>
          <w:sz w:val="20"/>
          <w:szCs w:val="20"/>
        </w:rPr>
        <w:t>There are safeguarding representatives across all aspects of the business and safeguarding training is part of the recruitment process and everyone’s continued professional development.</w:t>
      </w:r>
    </w:p>
    <w:p w14:paraId="7F69EE3F" w14:textId="77777777" w:rsidR="006305CA" w:rsidRPr="00070D11" w:rsidRDefault="006305CA">
      <w:pPr>
        <w:rPr>
          <w:rFonts w:ascii="Lato" w:hAnsi="Lato"/>
          <w:color w:val="002060"/>
          <w:sz w:val="20"/>
          <w:szCs w:val="20"/>
        </w:rPr>
      </w:pPr>
    </w:p>
    <w:p w14:paraId="16442186" w14:textId="77777777" w:rsidR="006305CA" w:rsidRPr="00070D11" w:rsidRDefault="006305CA">
      <w:pPr>
        <w:rPr>
          <w:rFonts w:ascii="Lato" w:hAnsi="Lato"/>
          <w:color w:val="002060"/>
          <w:sz w:val="20"/>
          <w:szCs w:val="20"/>
        </w:rPr>
      </w:pPr>
    </w:p>
    <w:p w14:paraId="3C88EA0E" w14:textId="77777777" w:rsidR="006305CA" w:rsidRPr="00070D11" w:rsidRDefault="006305CA">
      <w:pPr>
        <w:rPr>
          <w:rFonts w:ascii="Lato" w:hAnsi="Lato"/>
          <w:color w:val="002060"/>
          <w:sz w:val="20"/>
          <w:szCs w:val="20"/>
        </w:rPr>
      </w:pPr>
    </w:p>
    <w:p w14:paraId="586A69AD" w14:textId="77777777" w:rsidR="006305CA" w:rsidRPr="00070D11" w:rsidRDefault="006305CA">
      <w:pPr>
        <w:rPr>
          <w:rFonts w:ascii="Lato" w:hAnsi="Lato"/>
          <w:color w:val="002060"/>
          <w:sz w:val="20"/>
          <w:szCs w:val="20"/>
        </w:rPr>
      </w:pPr>
    </w:p>
    <w:p w14:paraId="0CDD832A" w14:textId="77777777" w:rsidR="006305CA" w:rsidRPr="00070D11" w:rsidRDefault="006305CA">
      <w:pPr>
        <w:rPr>
          <w:rFonts w:ascii="Lato" w:hAnsi="Lato"/>
          <w:color w:val="002060"/>
          <w:sz w:val="20"/>
          <w:szCs w:val="20"/>
        </w:rPr>
      </w:pPr>
    </w:p>
    <w:p w14:paraId="2257EB21" w14:textId="77777777" w:rsidR="006305CA" w:rsidRPr="00070D11" w:rsidRDefault="006305CA">
      <w:pPr>
        <w:rPr>
          <w:rFonts w:ascii="Lato" w:hAnsi="Lato"/>
          <w:color w:val="002060"/>
          <w:sz w:val="20"/>
          <w:szCs w:val="20"/>
        </w:rPr>
      </w:pPr>
    </w:p>
    <w:p w14:paraId="440A9536" w14:textId="77777777" w:rsidR="006305CA" w:rsidRPr="00070D11" w:rsidRDefault="006305CA">
      <w:pPr>
        <w:rPr>
          <w:rFonts w:ascii="Lato" w:hAnsi="Lato"/>
          <w:color w:val="002060"/>
          <w:sz w:val="20"/>
          <w:szCs w:val="20"/>
        </w:rPr>
      </w:pPr>
    </w:p>
    <w:p w14:paraId="31AECFB6" w14:textId="77777777" w:rsidR="00FE3325" w:rsidRPr="00070D11" w:rsidRDefault="001405BA">
      <w:pPr>
        <w:rPr>
          <w:rFonts w:ascii="Lato" w:hAnsi="Lato"/>
          <w:color w:val="002060"/>
          <w:sz w:val="20"/>
          <w:szCs w:val="20"/>
        </w:rPr>
      </w:pPr>
      <w:r w:rsidRPr="00070D11">
        <w:rPr>
          <w:rFonts w:ascii="Lato" w:hAnsi="Lato"/>
          <w:color w:val="002060"/>
          <w:sz w:val="20"/>
          <w:szCs w:val="20"/>
        </w:rPr>
        <w:t xml:space="preserve"> Please refer to the main published policies for more detail. </w:t>
      </w:r>
    </w:p>
    <w:p w14:paraId="37F149A1" w14:textId="77777777" w:rsidR="00FE3325" w:rsidRPr="00070D11" w:rsidRDefault="001405BA">
      <w:pPr>
        <w:rPr>
          <w:rFonts w:ascii="Lato" w:hAnsi="Lato"/>
          <w:color w:val="002060"/>
          <w:sz w:val="20"/>
          <w:szCs w:val="20"/>
        </w:rPr>
      </w:pPr>
      <w:r w:rsidRPr="00070D11">
        <w:rPr>
          <w:rFonts w:ascii="Lato" w:hAnsi="Lato"/>
          <w:color w:val="002060"/>
          <w:sz w:val="20"/>
          <w:szCs w:val="20"/>
        </w:rPr>
        <w:t>Match Day - there are safeguarding protocols and designated persons to minimise and manage any potential</w:t>
      </w:r>
      <w:r w:rsidR="00FE3325" w:rsidRPr="00070D11">
        <w:rPr>
          <w:rFonts w:ascii="Lato" w:hAnsi="Lato"/>
          <w:color w:val="002060"/>
          <w:sz w:val="20"/>
          <w:szCs w:val="20"/>
        </w:rPr>
        <w:t xml:space="preserve"> </w:t>
      </w:r>
      <w:r w:rsidRPr="00070D11">
        <w:rPr>
          <w:rFonts w:ascii="Lato" w:hAnsi="Lato"/>
          <w:color w:val="002060"/>
          <w:sz w:val="20"/>
          <w:szCs w:val="20"/>
        </w:rPr>
        <w:t xml:space="preserve">safeguarding risk. </w:t>
      </w:r>
    </w:p>
    <w:p w14:paraId="562B4899" w14:textId="3407D67A" w:rsidR="00FE3325" w:rsidRPr="00070D11" w:rsidRDefault="00FE3325">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follow EFL and FA guidance on DBS checks and all appropriate staff members will have barring scheme clearance. We acknowledge that celebrating success is a key part of football, where match day activities are held in the public arena. </w:t>
      </w:r>
    </w:p>
    <w:p w14:paraId="5690F8C3" w14:textId="36C70401" w:rsidR="006D0C66" w:rsidRPr="00070D11" w:rsidRDefault="001405BA">
      <w:pPr>
        <w:rPr>
          <w:rFonts w:ascii="Lato" w:hAnsi="Lato"/>
          <w:color w:val="002060"/>
          <w:sz w:val="20"/>
          <w:szCs w:val="20"/>
        </w:rPr>
      </w:pPr>
      <w:r w:rsidRPr="00070D11">
        <w:rPr>
          <w:rFonts w:ascii="Lato" w:hAnsi="Lato"/>
          <w:color w:val="002060"/>
          <w:sz w:val="20"/>
          <w:szCs w:val="20"/>
        </w:rPr>
        <w:t xml:space="preserve">Social Media and Digital Communication – </w:t>
      </w:r>
      <w:r w:rsidR="00FB670E" w:rsidRPr="00070D11">
        <w:rPr>
          <w:rFonts w:ascii="Lato" w:hAnsi="Lato"/>
          <w:color w:val="002060"/>
          <w:sz w:val="20"/>
          <w:szCs w:val="20"/>
        </w:rPr>
        <w:t>G</w:t>
      </w:r>
      <w:r w:rsidRPr="00070D11">
        <w:rPr>
          <w:rFonts w:ascii="Lato" w:hAnsi="Lato"/>
          <w:color w:val="002060"/>
          <w:sz w:val="20"/>
          <w:szCs w:val="20"/>
        </w:rPr>
        <w:t xml:space="preserve">FC have policies and protocols in place regarding expected behaviours for using social media and any other form of digital communication. </w:t>
      </w:r>
    </w:p>
    <w:p w14:paraId="424D811F" w14:textId="77777777" w:rsidR="006D0C66" w:rsidRPr="00070D11" w:rsidRDefault="001405BA">
      <w:pPr>
        <w:rPr>
          <w:rFonts w:ascii="Lato" w:hAnsi="Lato"/>
          <w:color w:val="002060"/>
          <w:sz w:val="20"/>
          <w:szCs w:val="20"/>
        </w:rPr>
      </w:pPr>
      <w:r w:rsidRPr="00070D11">
        <w:rPr>
          <w:rFonts w:ascii="Lato" w:hAnsi="Lato"/>
          <w:color w:val="002060"/>
          <w:sz w:val="20"/>
          <w:szCs w:val="20"/>
        </w:rPr>
        <w:t xml:space="preserve">We include the actions to take when misuse is reported. </w:t>
      </w:r>
    </w:p>
    <w:p w14:paraId="0D2F7C36" w14:textId="77777777" w:rsidR="006D0C66" w:rsidRPr="00070D11" w:rsidRDefault="001405BA">
      <w:pPr>
        <w:rPr>
          <w:rFonts w:ascii="Lato" w:hAnsi="Lato"/>
          <w:color w:val="002060"/>
          <w:sz w:val="20"/>
          <w:szCs w:val="20"/>
        </w:rPr>
      </w:pPr>
      <w:r w:rsidRPr="00070D11">
        <w:rPr>
          <w:rFonts w:ascii="Lato" w:hAnsi="Lato"/>
          <w:color w:val="002060"/>
          <w:sz w:val="20"/>
          <w:szCs w:val="20"/>
        </w:rPr>
        <w:t xml:space="preserve">Residential Accommodation – Host Families are recruited to provide accommodation for those 16-18 year old Academy scholars, for which daily travel is not viable. House Parents are subject to a rigorous selection process, have DBS checks for all adults at the accommodation and the premises is subject to safety checks. </w:t>
      </w:r>
    </w:p>
    <w:p w14:paraId="6DC39A36" w14:textId="77777777" w:rsidR="000F2610" w:rsidRPr="00070D11" w:rsidRDefault="006D0C66">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understand the care required for young people living away from their home. </w:t>
      </w:r>
      <w:r w:rsidRPr="00070D11">
        <w:rPr>
          <w:rFonts w:ascii="Lato" w:hAnsi="Lato"/>
          <w:color w:val="002060"/>
          <w:sz w:val="20"/>
          <w:szCs w:val="20"/>
        </w:rPr>
        <w:t>G</w:t>
      </w:r>
      <w:r w:rsidR="001405BA" w:rsidRPr="00070D11">
        <w:rPr>
          <w:rFonts w:ascii="Lato" w:hAnsi="Lato"/>
          <w:color w:val="002060"/>
          <w:sz w:val="20"/>
          <w:szCs w:val="20"/>
        </w:rPr>
        <w:t xml:space="preserve">FC have a comprehensive accommodation plan considering all of these aspects. </w:t>
      </w:r>
    </w:p>
    <w:p w14:paraId="69DF9EBB" w14:textId="77777777" w:rsidR="000F2610" w:rsidRPr="00070D11" w:rsidRDefault="001405BA">
      <w:pPr>
        <w:rPr>
          <w:rFonts w:ascii="Lato" w:hAnsi="Lato"/>
          <w:color w:val="002060"/>
          <w:sz w:val="20"/>
          <w:szCs w:val="20"/>
        </w:rPr>
      </w:pPr>
      <w:r w:rsidRPr="00070D11">
        <w:rPr>
          <w:rFonts w:ascii="Lato" w:hAnsi="Lato"/>
          <w:color w:val="002060"/>
          <w:sz w:val="20"/>
          <w:szCs w:val="20"/>
        </w:rPr>
        <w:t xml:space="preserve">Travel, Trips and Tournaments - There are specific guidelines and policies relating to our young people travelling to play football, whether training, tournaments or matches. </w:t>
      </w:r>
      <w:r w:rsidR="000F2610" w:rsidRPr="00070D11">
        <w:rPr>
          <w:rFonts w:ascii="Lato" w:hAnsi="Lato"/>
          <w:color w:val="002060"/>
          <w:sz w:val="20"/>
          <w:szCs w:val="20"/>
        </w:rPr>
        <w:t>G</w:t>
      </w:r>
      <w:r w:rsidRPr="00070D11">
        <w:rPr>
          <w:rFonts w:ascii="Lato" w:hAnsi="Lato"/>
          <w:color w:val="002060"/>
          <w:sz w:val="20"/>
          <w:szCs w:val="20"/>
        </w:rPr>
        <w:t xml:space="preserve">FC have a number of academy specific safeguarding policies, including; Travel, Trips and Tournaments and Senior Appearances for U18s. </w:t>
      </w:r>
    </w:p>
    <w:p w14:paraId="07B6F458" w14:textId="77777777" w:rsidR="000F2610" w:rsidRPr="00070D11" w:rsidRDefault="001405BA">
      <w:pPr>
        <w:rPr>
          <w:rFonts w:ascii="Lato" w:hAnsi="Lato"/>
          <w:color w:val="002060"/>
          <w:sz w:val="20"/>
          <w:szCs w:val="20"/>
        </w:rPr>
      </w:pPr>
      <w:r w:rsidRPr="00070D11">
        <w:rPr>
          <w:rFonts w:ascii="Lato" w:hAnsi="Lato"/>
          <w:color w:val="002060"/>
          <w:sz w:val="20"/>
          <w:szCs w:val="20"/>
        </w:rPr>
        <w:t xml:space="preserve">Permissions, safeguarding risk assessments, health and safety provision, individual needs and vulnerabilities, appropriate staff supervision, records and constant evaluation will be adhered to ensuring the young and vulnerable are kept safe. </w:t>
      </w:r>
    </w:p>
    <w:p w14:paraId="2A4FC9CD" w14:textId="51FD912B" w:rsidR="000F2610" w:rsidRPr="00070D11" w:rsidRDefault="001405BA">
      <w:pPr>
        <w:rPr>
          <w:rFonts w:ascii="Lato" w:hAnsi="Lato"/>
          <w:color w:val="002060"/>
          <w:sz w:val="20"/>
          <w:szCs w:val="20"/>
        </w:rPr>
      </w:pPr>
      <w:r w:rsidRPr="00070D11">
        <w:rPr>
          <w:rFonts w:ascii="Lato" w:hAnsi="Lato"/>
          <w:color w:val="002060"/>
          <w:sz w:val="20"/>
          <w:szCs w:val="20"/>
        </w:rPr>
        <w:t xml:space="preserve">Partnerships </w:t>
      </w:r>
    </w:p>
    <w:p w14:paraId="748B425F" w14:textId="77777777" w:rsidR="001F1958" w:rsidRPr="00070D11" w:rsidRDefault="000F2610">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works closely with statutory agencies, football regulators and appropriate organisations and follow the safeguarding information sharing principles. </w:t>
      </w:r>
      <w:r w:rsidRPr="00070D11">
        <w:rPr>
          <w:rFonts w:ascii="Lato" w:hAnsi="Lato"/>
          <w:color w:val="002060"/>
          <w:sz w:val="20"/>
          <w:szCs w:val="20"/>
        </w:rPr>
        <w:t>G</w:t>
      </w:r>
      <w:r w:rsidR="001405BA" w:rsidRPr="00070D11">
        <w:rPr>
          <w:rFonts w:ascii="Lato" w:hAnsi="Lato"/>
          <w:color w:val="002060"/>
          <w:sz w:val="20"/>
          <w:szCs w:val="20"/>
        </w:rPr>
        <w:t xml:space="preserve">FC work in partnership with </w:t>
      </w:r>
      <w:r w:rsidR="00075CE2" w:rsidRPr="00070D11">
        <w:rPr>
          <w:rFonts w:ascii="Lato" w:hAnsi="Lato"/>
          <w:color w:val="002060"/>
          <w:sz w:val="20"/>
          <w:szCs w:val="20"/>
        </w:rPr>
        <w:t>Kent/Medway</w:t>
      </w:r>
      <w:r w:rsidR="001405BA" w:rsidRPr="00070D11">
        <w:rPr>
          <w:rFonts w:ascii="Lato" w:hAnsi="Lato"/>
          <w:color w:val="002060"/>
          <w:sz w:val="20"/>
          <w:szCs w:val="20"/>
        </w:rPr>
        <w:t xml:space="preserve"> Safeguarding Children Partnership and other relevant multi-agency partnerships, including the </w:t>
      </w:r>
      <w:r w:rsidR="00075CE2" w:rsidRPr="00070D11">
        <w:rPr>
          <w:rFonts w:ascii="Lato" w:hAnsi="Lato"/>
          <w:color w:val="002060"/>
          <w:sz w:val="20"/>
          <w:szCs w:val="20"/>
        </w:rPr>
        <w:t>Kent</w:t>
      </w:r>
      <w:r w:rsidR="001405BA" w:rsidRPr="00070D11">
        <w:rPr>
          <w:rFonts w:ascii="Lato" w:hAnsi="Lato"/>
          <w:color w:val="002060"/>
          <w:sz w:val="20"/>
          <w:szCs w:val="20"/>
        </w:rPr>
        <w:t xml:space="preserve"> Prevent Partnership. </w:t>
      </w:r>
    </w:p>
    <w:p w14:paraId="64E8DCE3" w14:textId="77777777" w:rsidR="001F1958" w:rsidRPr="00070D11" w:rsidRDefault="00075CE2">
      <w:pPr>
        <w:rPr>
          <w:rFonts w:ascii="Lato" w:hAnsi="Lato"/>
          <w:color w:val="002060"/>
          <w:sz w:val="20"/>
          <w:szCs w:val="20"/>
        </w:rPr>
      </w:pPr>
      <w:r w:rsidRPr="00070D11">
        <w:rPr>
          <w:rFonts w:ascii="Lato" w:hAnsi="Lato"/>
          <w:color w:val="002060"/>
          <w:sz w:val="20"/>
          <w:szCs w:val="20"/>
        </w:rPr>
        <w:t>G</w:t>
      </w:r>
      <w:r w:rsidR="001405BA" w:rsidRPr="00070D11">
        <w:rPr>
          <w:rFonts w:ascii="Lato" w:hAnsi="Lato"/>
          <w:color w:val="002060"/>
          <w:sz w:val="20"/>
          <w:szCs w:val="20"/>
        </w:rPr>
        <w:t xml:space="preserve">FC abide by safeguarding information sharing protocols with statutory agencies, including the police. </w:t>
      </w:r>
      <w:r w:rsidRPr="00070D11">
        <w:rPr>
          <w:rFonts w:ascii="Lato" w:hAnsi="Lato"/>
          <w:color w:val="002060"/>
          <w:sz w:val="20"/>
          <w:szCs w:val="20"/>
        </w:rPr>
        <w:t>G</w:t>
      </w:r>
      <w:r w:rsidR="001405BA" w:rsidRPr="00070D11">
        <w:rPr>
          <w:rFonts w:ascii="Lato" w:hAnsi="Lato"/>
          <w:color w:val="002060"/>
          <w:sz w:val="20"/>
          <w:szCs w:val="20"/>
        </w:rPr>
        <w:t xml:space="preserve">FC work closely with the FA and EFL safeguarding teams to ensure compliance with a football wide governance. </w:t>
      </w:r>
    </w:p>
    <w:p w14:paraId="48A1ACCB" w14:textId="11403D7D" w:rsidR="001E0CD2" w:rsidRPr="00070D11" w:rsidRDefault="001405BA">
      <w:pPr>
        <w:rPr>
          <w:rFonts w:ascii="Lato" w:hAnsi="Lato"/>
          <w:color w:val="002060"/>
          <w:sz w:val="20"/>
          <w:szCs w:val="20"/>
        </w:rPr>
      </w:pPr>
      <w:r w:rsidRPr="00070D11">
        <w:rPr>
          <w:rFonts w:ascii="Lato" w:hAnsi="Lato"/>
          <w:color w:val="002060"/>
          <w:sz w:val="20"/>
          <w:szCs w:val="20"/>
        </w:rPr>
        <w:t xml:space="preserve">If a young or vulnerable person is at risk of immediate harm: 999 </w:t>
      </w:r>
      <w:r w:rsidR="00DF5513" w:rsidRPr="00070D11">
        <w:rPr>
          <w:rFonts w:ascii="Lato" w:hAnsi="Lato"/>
          <w:color w:val="002060"/>
          <w:sz w:val="20"/>
          <w:szCs w:val="20"/>
        </w:rPr>
        <w:t xml:space="preserve">Kent </w:t>
      </w:r>
      <w:r w:rsidRPr="00070D11">
        <w:rPr>
          <w:rFonts w:ascii="Lato" w:hAnsi="Lato"/>
          <w:color w:val="002060"/>
          <w:sz w:val="20"/>
          <w:szCs w:val="20"/>
        </w:rPr>
        <w:t>Children Safeguarding Partnership:</w:t>
      </w:r>
      <w:r w:rsidR="00FB670E" w:rsidRPr="00070D11">
        <w:rPr>
          <w:rFonts w:ascii="Lato" w:hAnsi="Lato"/>
          <w:color w:val="002060"/>
          <w:sz w:val="20"/>
          <w:szCs w:val="20"/>
        </w:rPr>
        <w:t xml:space="preserve"> </w:t>
      </w:r>
      <w:hyperlink r:id="rId8" w:history="1">
        <w:r w:rsidR="00FB670E" w:rsidRPr="00070D11">
          <w:rPr>
            <w:rStyle w:val="Hyperlink"/>
            <w:rFonts w:ascii="Lato" w:hAnsi="Lato"/>
            <w:color w:val="002060"/>
            <w:sz w:val="20"/>
            <w:szCs w:val="20"/>
          </w:rPr>
          <w:t>kscmp@kent.gov.uk</w:t>
        </w:r>
      </w:hyperlink>
      <w:r w:rsidR="00FB670E" w:rsidRPr="00070D11">
        <w:rPr>
          <w:rFonts w:ascii="Lato" w:hAnsi="Lato"/>
          <w:color w:val="002060"/>
          <w:sz w:val="20"/>
          <w:szCs w:val="20"/>
        </w:rPr>
        <w:t xml:space="preserve"> </w:t>
      </w:r>
    </w:p>
    <w:p w14:paraId="2A76FAEA" w14:textId="77777777" w:rsidR="001E0CD2" w:rsidRPr="00C4125D" w:rsidRDefault="001E0CD2" w:rsidP="001E0CD2">
      <w:pPr>
        <w:jc w:val="center"/>
        <w:rPr>
          <w:rFonts w:ascii="Lato" w:hAnsi="Lato"/>
          <w:color w:val="002060"/>
          <w:sz w:val="32"/>
          <w:szCs w:val="32"/>
        </w:rPr>
      </w:pPr>
    </w:p>
    <w:p w14:paraId="42CBB28B" w14:textId="3E3EC200" w:rsidR="00196CC6" w:rsidRDefault="00196CC6">
      <w:pPr>
        <w:rPr>
          <w:noProof/>
        </w:rPr>
      </w:pPr>
    </w:p>
    <w:p w14:paraId="1946241F" w14:textId="77777777" w:rsidR="00196CC6" w:rsidRDefault="00196CC6">
      <w:pPr>
        <w:rPr>
          <w:noProof/>
        </w:rPr>
      </w:pPr>
    </w:p>
    <w:p w14:paraId="041A7312" w14:textId="77777777" w:rsidR="00196CC6" w:rsidRDefault="00196CC6">
      <w:pPr>
        <w:rPr>
          <w:noProof/>
        </w:rPr>
      </w:pPr>
    </w:p>
    <w:p w14:paraId="12A728FB" w14:textId="31DBD9C9" w:rsidR="004B7478" w:rsidRPr="004B7478" w:rsidRDefault="004B7478" w:rsidP="004B7478">
      <w:pPr>
        <w:tabs>
          <w:tab w:val="left" w:pos="6209"/>
        </w:tabs>
      </w:pPr>
      <w:r>
        <w:tab/>
      </w:r>
    </w:p>
    <w:sectPr w:rsidR="004B7478" w:rsidRPr="004B7478" w:rsidSect="004B7478">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D3260" w14:textId="77777777" w:rsidR="00FE6201" w:rsidRDefault="00FE6201" w:rsidP="00A55455">
      <w:pPr>
        <w:spacing w:after="0" w:line="240" w:lineRule="auto"/>
      </w:pPr>
      <w:r>
        <w:separator/>
      </w:r>
    </w:p>
  </w:endnote>
  <w:endnote w:type="continuationSeparator" w:id="0">
    <w:p w14:paraId="1453E5B1" w14:textId="77777777" w:rsidR="00FE6201" w:rsidRDefault="00FE6201" w:rsidP="00A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64BF" w14:textId="77777777" w:rsidR="00FE6201" w:rsidRDefault="00FE6201" w:rsidP="00A55455">
      <w:pPr>
        <w:spacing w:after="0" w:line="240" w:lineRule="auto"/>
      </w:pPr>
      <w:r>
        <w:separator/>
      </w:r>
    </w:p>
  </w:footnote>
  <w:footnote w:type="continuationSeparator" w:id="0">
    <w:p w14:paraId="14418BBA" w14:textId="77777777" w:rsidR="00FE6201" w:rsidRDefault="00FE6201" w:rsidP="00A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1D9" w14:textId="38FBEE36" w:rsidR="00A55455" w:rsidRDefault="00000000">
    <w:pPr>
      <w:pStyle w:val="Header"/>
    </w:pPr>
    <w:r>
      <w:rPr>
        <w:noProof/>
      </w:rPr>
      <w:pict w14:anchorId="33EE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1" o:spid="_x0000_s1029" type="#_x0000_t75" style="position:absolute;margin-left:0;margin-top:0;width:446.55pt;height:631.4pt;z-index:-251657216;mso-position-horizontal:center;mso-position-horizontal-relative:margin;mso-position-vertical:center;mso-position-vertical-relative:margin" o:allowincell="f">
          <v:imagedata r:id="rId1" o:title="GFC Letterhead 2023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A6AC" w14:textId="5AB6542D" w:rsidR="00D3130A" w:rsidRDefault="00000000">
    <w:pPr>
      <w:pStyle w:val="Header"/>
    </w:pPr>
    <w:r>
      <w:rPr>
        <w:noProof/>
      </w:rPr>
      <w:pict w14:anchorId="1FC8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2" o:spid="_x0000_s1030" type="#_x0000_t75" style="position:absolute;margin-left:-35.45pt;margin-top:-47.45pt;width:591.35pt;height:836.15pt;z-index:-251656192;mso-position-horizontal-relative:margin;mso-position-vertical-relative:margin" o:allowincell="f">
          <v:imagedata r:id="rId1" o:title="GFC Letterhead 2023 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2621" w14:textId="1F3ED6AA" w:rsidR="00A55455" w:rsidRDefault="00000000">
    <w:pPr>
      <w:pStyle w:val="Header"/>
    </w:pPr>
    <w:r>
      <w:rPr>
        <w:noProof/>
      </w:rPr>
      <w:pict w14:anchorId="48BD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0" o:spid="_x0000_s1028" type="#_x0000_t75" style="position:absolute;margin-left:0;margin-top:0;width:446.55pt;height:631.4pt;z-index:-251658240;mso-position-horizontal:center;mso-position-horizontal-relative:margin;mso-position-vertical:center;mso-position-vertical-relative:margin" o:allowincell="f">
          <v:imagedata r:id="rId1" o:title="GFC Letterhead 2023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BE"/>
    <w:multiLevelType w:val="hybridMultilevel"/>
    <w:tmpl w:val="DCC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5749"/>
    <w:multiLevelType w:val="hybridMultilevel"/>
    <w:tmpl w:val="C93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165BB"/>
    <w:multiLevelType w:val="hybridMultilevel"/>
    <w:tmpl w:val="F31C1C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177529">
    <w:abstractNumId w:val="1"/>
  </w:num>
  <w:num w:numId="2" w16cid:durableId="1477140307">
    <w:abstractNumId w:val="2"/>
  </w:num>
  <w:num w:numId="3" w16cid:durableId="81692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9"/>
    <w:rsid w:val="000132FB"/>
    <w:rsid w:val="00032512"/>
    <w:rsid w:val="00070D11"/>
    <w:rsid w:val="00075CE2"/>
    <w:rsid w:val="0009350E"/>
    <w:rsid w:val="000A7948"/>
    <w:rsid w:val="000C3515"/>
    <w:rsid w:val="000F2610"/>
    <w:rsid w:val="001405BA"/>
    <w:rsid w:val="00147BA4"/>
    <w:rsid w:val="00175FC6"/>
    <w:rsid w:val="00196CC6"/>
    <w:rsid w:val="001E0CD2"/>
    <w:rsid w:val="001F1958"/>
    <w:rsid w:val="0020202E"/>
    <w:rsid w:val="0022596B"/>
    <w:rsid w:val="002348A0"/>
    <w:rsid w:val="00273B24"/>
    <w:rsid w:val="002A4CAD"/>
    <w:rsid w:val="003309D5"/>
    <w:rsid w:val="00362BAB"/>
    <w:rsid w:val="00400A59"/>
    <w:rsid w:val="00424793"/>
    <w:rsid w:val="004324DE"/>
    <w:rsid w:val="00454604"/>
    <w:rsid w:val="004816AD"/>
    <w:rsid w:val="0049771B"/>
    <w:rsid w:val="004B7478"/>
    <w:rsid w:val="005103ED"/>
    <w:rsid w:val="00534F77"/>
    <w:rsid w:val="0054655D"/>
    <w:rsid w:val="005546DF"/>
    <w:rsid w:val="0058437D"/>
    <w:rsid w:val="005D4FCD"/>
    <w:rsid w:val="006261A5"/>
    <w:rsid w:val="006305CA"/>
    <w:rsid w:val="00694A5F"/>
    <w:rsid w:val="006C05B6"/>
    <w:rsid w:val="006D0C66"/>
    <w:rsid w:val="006E70DB"/>
    <w:rsid w:val="00724CEA"/>
    <w:rsid w:val="007565EB"/>
    <w:rsid w:val="00786BB2"/>
    <w:rsid w:val="007E35F4"/>
    <w:rsid w:val="00811FAD"/>
    <w:rsid w:val="00823342"/>
    <w:rsid w:val="00843604"/>
    <w:rsid w:val="008C4833"/>
    <w:rsid w:val="00950B61"/>
    <w:rsid w:val="00975D24"/>
    <w:rsid w:val="009E4163"/>
    <w:rsid w:val="009E5335"/>
    <w:rsid w:val="009F0C44"/>
    <w:rsid w:val="00A01326"/>
    <w:rsid w:val="00A55455"/>
    <w:rsid w:val="00A71F48"/>
    <w:rsid w:val="00AC3054"/>
    <w:rsid w:val="00B066B1"/>
    <w:rsid w:val="00B1714D"/>
    <w:rsid w:val="00B741AF"/>
    <w:rsid w:val="00B93262"/>
    <w:rsid w:val="00C232EA"/>
    <w:rsid w:val="00C26CA9"/>
    <w:rsid w:val="00C45DBF"/>
    <w:rsid w:val="00C65694"/>
    <w:rsid w:val="00C83C53"/>
    <w:rsid w:val="00C87CBE"/>
    <w:rsid w:val="00CB04DD"/>
    <w:rsid w:val="00CB12B9"/>
    <w:rsid w:val="00CC219D"/>
    <w:rsid w:val="00CC507E"/>
    <w:rsid w:val="00CD6D38"/>
    <w:rsid w:val="00D3130A"/>
    <w:rsid w:val="00D679C0"/>
    <w:rsid w:val="00D7325A"/>
    <w:rsid w:val="00DA0C2D"/>
    <w:rsid w:val="00DF5513"/>
    <w:rsid w:val="00E33398"/>
    <w:rsid w:val="00E349CD"/>
    <w:rsid w:val="00ED74F7"/>
    <w:rsid w:val="00F17227"/>
    <w:rsid w:val="00F231DC"/>
    <w:rsid w:val="00F85040"/>
    <w:rsid w:val="00FB61C6"/>
    <w:rsid w:val="00FB670E"/>
    <w:rsid w:val="00FE3325"/>
    <w:rsid w:val="00FE6201"/>
    <w:rsid w:val="3F2BB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2F68"/>
  <w15:chartTrackingRefBased/>
  <w15:docId w15:val="{3AFEE5D0-E9AD-44DA-B3CE-73D1CB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6AD"/>
    <w:pPr>
      <w:spacing w:after="200" w:line="276" w:lineRule="auto"/>
      <w:ind w:left="720"/>
    </w:pPr>
    <w:rPr>
      <w:rFonts w:ascii="Calibri" w:eastAsia="Times New Roman" w:hAnsi="Calibri" w:cs="Times New Roman"/>
      <w:kern w:val="0"/>
      <w14:ligatures w14:val="none"/>
    </w:rPr>
  </w:style>
  <w:style w:type="paragraph" w:customStyle="1" w:styleId="Default">
    <w:name w:val="Default"/>
    <w:rsid w:val="004816AD"/>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table" w:styleId="TableGrid">
    <w:name w:val="Table Grid"/>
    <w:basedOn w:val="TableNormal"/>
    <w:uiPriority w:val="39"/>
    <w:rsid w:val="00B7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55"/>
  </w:style>
  <w:style w:type="paragraph" w:styleId="Footer">
    <w:name w:val="footer"/>
    <w:basedOn w:val="Normal"/>
    <w:link w:val="FooterChar"/>
    <w:uiPriority w:val="99"/>
    <w:unhideWhenUsed/>
    <w:rsid w:val="00A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55"/>
  </w:style>
  <w:style w:type="character" w:styleId="Hyperlink">
    <w:name w:val="Hyperlink"/>
    <w:basedOn w:val="DefaultParagraphFont"/>
    <w:uiPriority w:val="99"/>
    <w:unhideWhenUsed/>
    <w:rsid w:val="00F85040"/>
    <w:rPr>
      <w:color w:val="0563C1" w:themeColor="hyperlink"/>
      <w:u w:val="single"/>
    </w:rPr>
  </w:style>
  <w:style w:type="character" w:styleId="UnresolvedMention">
    <w:name w:val="Unresolved Mention"/>
    <w:basedOn w:val="DefaultParagraphFont"/>
    <w:uiPriority w:val="99"/>
    <w:semiHidden/>
    <w:unhideWhenUsed/>
    <w:rsid w:val="00F85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mp@k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priest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Asif Rasheed</cp:lastModifiedBy>
  <cp:revision>45</cp:revision>
  <dcterms:created xsi:type="dcterms:W3CDTF">2023-07-21T11:28:00Z</dcterms:created>
  <dcterms:modified xsi:type="dcterms:W3CDTF">2024-11-21T14:11:00Z</dcterms:modified>
</cp:coreProperties>
</file>